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after="0" w:line="240" w:lineRule="auto"/>
        <w:ind/>
        <w:rPr>
          <w:b/>
          <w:sz w:val="24"/>
          <w:szCs w:val="24"/>
        </w:rPr>
      </w:pPr>
      <w:r>
        <w:rPr>
          <w:b/>
          <w:sz w:val="24"/>
          <w:szCs w:val="24"/>
        </w:rPr>
      </w:r>
      <w:r>
        <w:rPr>
          <w:b/>
          <w:sz w:val="24"/>
          <w:szCs w:val="24"/>
        </w:rPr>
      </w:r>
      <w:r>
        <w:rPr>
          <w:b/>
          <w:sz w:val="24"/>
          <w:szCs w:val="24"/>
        </w:rPr>
      </w:r>
    </w:p>
    <w:p>
      <w:pPr>
        <w:pBdr/>
        <w:spacing w:after="0" w:line="240" w:lineRule="auto"/>
        <w:ind/>
        <w:jc w:val="both"/>
        <w:rPr>
          <w:rFonts w:eastAsiaTheme="majorEastAsia" w:cstheme="majorBidi"/>
          <w:b/>
          <w:color w:val="011970"/>
          <w:sz w:val="44"/>
          <w:szCs w:val="32"/>
        </w:rPr>
      </w:pPr>
      <w:r>
        <w:rPr>
          <w:rFonts w:eastAsiaTheme="majorEastAsia" w:cstheme="majorBidi"/>
          <w:b/>
          <w:color w:val="011970"/>
          <w:sz w:val="44"/>
          <w:szCs w:val="32"/>
        </w:rPr>
        <w:t xml:space="preserve">CR </w:t>
      </w:r>
      <w:r>
        <w:rPr>
          <w:rFonts w:eastAsiaTheme="majorEastAsia" w:cstheme="majorBidi"/>
          <w:b/>
          <w:color w:val="011970"/>
          <w:sz w:val="44"/>
          <w:szCs w:val="32"/>
        </w:rPr>
        <w:t xml:space="preserve">GT</w:t>
      </w:r>
      <w:r>
        <w:rPr>
          <w:rFonts w:eastAsiaTheme="majorEastAsia" w:cstheme="majorBidi"/>
          <w:b/>
          <w:color w:val="011970"/>
          <w:sz w:val="44"/>
          <w:szCs w:val="32"/>
        </w:rPr>
        <w:t xml:space="preserve"> n°2</w:t>
      </w:r>
      <w:r>
        <w:rPr>
          <w:rFonts w:eastAsiaTheme="majorEastAsia" w:cstheme="majorBidi"/>
          <w:b/>
          <w:color w:val="011970"/>
          <w:sz w:val="44"/>
          <w:szCs w:val="32"/>
        </w:rPr>
        <w:t xml:space="preserve"> Solaire thermique </w:t>
      </w:r>
      <w:r>
        <w:rPr>
          <w:rFonts w:eastAsiaTheme="majorEastAsia" w:cstheme="majorBidi"/>
          <w:b/>
          <w:color w:val="011970"/>
          <w:sz w:val="44"/>
          <w:szCs w:val="32"/>
        </w:rPr>
        <w:t xml:space="preserve">– </w:t>
      </w:r>
      <w:r>
        <w:rPr>
          <w:rFonts w:eastAsiaTheme="majorEastAsia" w:cstheme="majorBidi"/>
          <w:b/>
          <w:color w:val="011970"/>
          <w:sz w:val="44"/>
          <w:szCs w:val="32"/>
        </w:rPr>
        <w:t xml:space="preserve">8 février 2024</w:t>
      </w:r>
      <w:r>
        <w:rPr>
          <w:rFonts w:eastAsiaTheme="majorEastAsia" w:cstheme="majorBidi"/>
          <w:b/>
          <w:color w:val="011970"/>
          <w:sz w:val="44"/>
          <w:szCs w:val="32"/>
        </w:rPr>
      </w:r>
      <w:r>
        <w:rPr>
          <w:rFonts w:eastAsiaTheme="majorEastAsia" w:cstheme="majorBidi"/>
          <w:b/>
          <w:color w:val="011970"/>
          <w:sz w:val="44"/>
          <w:szCs w:val="32"/>
        </w:rPr>
      </w:r>
    </w:p>
    <w:p>
      <w:pPr>
        <w:pBdr/>
        <w:spacing w:after="0" w:line="240" w:lineRule="auto"/>
        <w:ind/>
        <w:rPr/>
      </w:pPr>
      <w:r/>
      <w:r/>
    </w:p>
    <w:p>
      <w:pPr>
        <w:pBdr/>
        <w:spacing w:after="0" w:line="240" w:lineRule="auto"/>
        <w:ind/>
        <w:rPr/>
      </w:pPr>
      <w:r>
        <w:t xml:space="preserve">Date</w:t>
      </w:r>
      <w:r>
        <w:t xml:space="preserve"> du document</w:t>
      </w:r>
      <w:r>
        <w:t xml:space="preserve"> : 12 février 2024</w:t>
      </w:r>
      <w:r/>
    </w:p>
    <w:p>
      <w:pPr>
        <w:pBdr/>
        <w:spacing w:after="0" w:line="240" w:lineRule="auto"/>
        <w:ind/>
        <w:rPr/>
      </w:pPr>
      <w:r>
        <w:t xml:space="preserve">Rédaction : </w:t>
      </w:r>
      <w:r>
        <w:t xml:space="preserve">Géraldine CARPENTIER</w:t>
      </w:r>
      <w:r>
        <w:t xml:space="preserve"> et Lucas VENOSINO</w:t>
      </w:r>
      <w:r/>
    </w:p>
    <w:p>
      <w:pPr>
        <w:pBdr/>
        <w:spacing w:after="0" w:line="240" w:lineRule="auto"/>
        <w:ind/>
        <w:rPr/>
      </w:pPr>
      <w:r/>
      <w:r/>
    </w:p>
    <w:p>
      <w:pPr>
        <w:pStyle w:val="981"/>
        <w:pBdr/>
        <w:spacing w:before="0" w:line="240" w:lineRule="auto"/>
        <w:ind/>
        <w:rPr/>
      </w:pPr>
      <w:r>
        <w:t xml:space="preserve">Présents</w:t>
      </w:r>
      <w:r/>
    </w:p>
    <w:p>
      <w:pPr>
        <w:pBdr/>
        <w:spacing w:after="0" w:line="240" w:lineRule="auto"/>
        <w:ind/>
        <w:rPr/>
      </w:pPr>
      <w:r/>
      <w:r/>
    </w:p>
    <w:p>
      <w:pPr>
        <w:pStyle w:val="993"/>
        <w:numPr>
          <w:ilvl w:val="0"/>
          <w:numId w:val="4"/>
        </w:numPr>
        <w:pBdr/>
        <w:spacing w:after="0" w:line="240" w:lineRule="auto"/>
        <w:ind/>
        <w:rPr/>
      </w:pPr>
      <w:r>
        <w:t xml:space="preserve">ANTEA, Edouard </w:t>
      </w:r>
      <w:r>
        <w:t xml:space="preserve">Tissier</w:t>
      </w:r>
      <w:r/>
    </w:p>
    <w:p>
      <w:pPr>
        <w:pStyle w:val="993"/>
        <w:numPr>
          <w:ilvl w:val="0"/>
          <w:numId w:val="4"/>
        </w:numPr>
        <w:pBdr/>
        <w:spacing w:after="0" w:line="240" w:lineRule="auto"/>
        <w:ind/>
        <w:rPr/>
      </w:pPr>
      <w:r>
        <w:t xml:space="preserve">Cylergie</w:t>
      </w:r>
      <w:r>
        <w:t xml:space="preserve">, </w:t>
      </w:r>
      <w:r>
        <w:t xml:space="preserve">Mathilde </w:t>
      </w:r>
      <w:r>
        <w:t xml:space="preserve">Veyron</w:t>
      </w:r>
      <w:r/>
    </w:p>
    <w:p>
      <w:pPr>
        <w:pStyle w:val="993"/>
        <w:numPr>
          <w:ilvl w:val="0"/>
          <w:numId w:val="4"/>
        </w:numPr>
        <w:pBdr/>
        <w:spacing w:after="0" w:line="240" w:lineRule="auto"/>
        <w:ind/>
        <w:rPr/>
      </w:pPr>
      <w:r>
        <w:t xml:space="preserve">INES, Julie Rudy</w:t>
      </w:r>
      <w:r/>
    </w:p>
    <w:p>
      <w:pPr>
        <w:pStyle w:val="993"/>
        <w:numPr>
          <w:ilvl w:val="0"/>
          <w:numId w:val="4"/>
        </w:numPr>
        <w:pBdr/>
        <w:spacing w:after="0" w:line="240" w:lineRule="auto"/>
        <w:ind/>
        <w:rPr/>
      </w:pPr>
      <w:r>
        <w:t xml:space="preserve">AURA EE, Nicolas </w:t>
      </w:r>
      <w:r>
        <w:t xml:space="preserve">Picou</w:t>
      </w:r>
      <w:r>
        <w:t xml:space="preserve"> </w:t>
      </w:r>
      <w:r/>
    </w:p>
    <w:p>
      <w:pPr>
        <w:pStyle w:val="993"/>
        <w:numPr>
          <w:ilvl w:val="0"/>
          <w:numId w:val="4"/>
        </w:numPr>
        <w:pBdr/>
        <w:spacing w:after="0" w:line="240" w:lineRule="auto"/>
        <w:ind/>
        <w:rPr/>
      </w:pPr>
      <w:r>
        <w:t xml:space="preserve">PlanAir</w:t>
      </w:r>
      <w:r>
        <w:t xml:space="preserve">, Lionel </w:t>
      </w:r>
      <w:r>
        <w:t xml:space="preserve">Robbe</w:t>
      </w:r>
      <w:r/>
    </w:p>
    <w:p>
      <w:pPr>
        <w:pStyle w:val="993"/>
        <w:numPr>
          <w:ilvl w:val="0"/>
          <w:numId w:val="4"/>
        </w:numPr>
        <w:pBdr/>
        <w:spacing w:after="0" w:line="240" w:lineRule="auto"/>
        <w:ind/>
        <w:rPr/>
      </w:pPr>
      <w:r>
        <w:t xml:space="preserve">Antoine Gorin, </w:t>
      </w:r>
      <w:r>
        <w:t xml:space="preserve">Freeheat</w:t>
      </w:r>
      <w:r/>
    </w:p>
    <w:p>
      <w:pPr>
        <w:pStyle w:val="993"/>
        <w:numPr>
          <w:ilvl w:val="0"/>
          <w:numId w:val="4"/>
        </w:numPr>
        <w:pBdr/>
        <w:spacing w:after="0" w:line="240" w:lineRule="auto"/>
        <w:ind/>
        <w:rPr/>
      </w:pPr>
      <w:r>
        <w:t xml:space="preserve">Etudiants</w:t>
      </w:r>
      <w:r>
        <w:t xml:space="preserve"> de l’INSA Lyon</w:t>
      </w:r>
      <w:r/>
    </w:p>
    <w:p>
      <w:pPr>
        <w:pStyle w:val="993"/>
        <w:numPr>
          <w:ilvl w:val="0"/>
          <w:numId w:val="4"/>
        </w:numPr>
        <w:pBdr/>
        <w:spacing w:after="0" w:line="240" w:lineRule="auto"/>
        <w:ind/>
        <w:rPr/>
      </w:pPr>
      <w:r>
        <w:t xml:space="preserve">Groupe </w:t>
      </w:r>
      <w:r>
        <w:t xml:space="preserve">SERL ,</w:t>
      </w:r>
      <w:r>
        <w:t xml:space="preserve"> Benjamin Loisel </w:t>
      </w:r>
      <w:r/>
    </w:p>
    <w:p>
      <w:pPr>
        <w:pBdr/>
        <w:spacing w:after="0" w:line="240" w:lineRule="auto"/>
        <w:ind/>
        <w:rPr/>
      </w:pPr>
      <w:r/>
      <w:r/>
    </w:p>
    <w:p>
      <w:pPr>
        <w:pStyle w:val="981"/>
        <w:pBdr/>
        <w:spacing w:before="0" w:line="240" w:lineRule="auto"/>
        <w:ind/>
        <w:rPr/>
      </w:pPr>
      <w:r>
        <w:t xml:space="preserve">Point d’actualité</w:t>
      </w:r>
      <w:r/>
    </w:p>
    <w:p>
      <w:pPr>
        <w:pStyle w:val="982"/>
        <w:pBdr/>
        <w:spacing/>
        <w:ind/>
        <w:rPr/>
      </w:pPr>
      <w:r>
        <w:t xml:space="preserve">1/ animation régionale géothermie</w:t>
      </w:r>
      <w:r/>
    </w:p>
    <w:p>
      <w:pPr>
        <w:pBdr/>
        <w:spacing w:after="0" w:line="240" w:lineRule="auto"/>
        <w:ind w:left="720"/>
        <w:rPr/>
      </w:pPr>
      <w:r/>
      <w:r/>
    </w:p>
    <w:p>
      <w:pPr>
        <w:numPr>
          <w:ilvl w:val="0"/>
          <w:numId w:val="20"/>
        </w:numPr>
        <w:pBdr/>
        <w:spacing w:after="0" w:line="240" w:lineRule="auto"/>
        <w:ind w:hanging="357"/>
        <w:rPr/>
      </w:pPr>
      <w:r>
        <w:t xml:space="preserve">Webinaire « Géothermie dans les bâtiments tertiaires » le 13 février</w:t>
      </w:r>
      <w:r/>
    </w:p>
    <w:p>
      <w:pPr>
        <w:pBdr/>
        <w:spacing w:after="0" w:line="240" w:lineRule="auto"/>
        <w:ind/>
        <w:rPr/>
      </w:pPr>
      <w:r>
        <w:t xml:space="preserve">Replay</w:t>
      </w:r>
      <w:r>
        <w:t xml:space="preserve"> disponible : </w:t>
      </w:r>
      <w:hyperlink r:id="rId11" w:tooltip="https://nxt.auvergnerhonealpes-ee.fr/index.php/s/ZkJqyMrEJRoeMKG" w:history="1">
        <w:r>
          <w:rPr>
            <w:rStyle w:val="986"/>
          </w:rPr>
          <w:t xml:space="preserve">https://nxt.auvergnerhonealpes-ee.fr/index.php/s/ZkJqyMrEJRoeMKG</w:t>
        </w:r>
      </w:hyperlink>
      <w:r/>
      <w:r/>
    </w:p>
    <w:p>
      <w:pPr>
        <w:pBdr/>
        <w:spacing w:after="0" w:line="240" w:lineRule="auto"/>
        <w:ind/>
        <w:rPr/>
      </w:pPr>
      <w:r/>
      <w:r/>
    </w:p>
    <w:p>
      <w:pPr>
        <w:numPr>
          <w:ilvl w:val="0"/>
          <w:numId w:val="20"/>
        </w:numPr>
        <w:pBdr/>
        <w:spacing w:after="0" w:line="240" w:lineRule="auto"/>
        <w:ind w:hanging="357"/>
        <w:rPr/>
      </w:pPr>
      <w:r>
        <w:t xml:space="preserve">Série de 3 webinaires en Mars en partenariat avec l’ADEME</w:t>
      </w:r>
      <w:r/>
    </w:p>
    <w:p>
      <w:pPr>
        <w:numPr>
          <w:ilvl w:val="1"/>
          <w:numId w:val="20"/>
        </w:numPr>
        <w:pBdr/>
        <w:spacing w:after="0" w:line="240" w:lineRule="auto"/>
        <w:ind w:hanging="357"/>
        <w:rPr/>
      </w:pPr>
      <w:r>
        <w:t xml:space="preserve">Webinaire tout public - Retour d'expérience - Montage d'un projet </w:t>
      </w:r>
      <w:r>
        <w:t xml:space="preserve">de A</w:t>
      </w:r>
      <w:r>
        <w:t xml:space="preserve"> à Z</w:t>
      </w:r>
      <w:r/>
    </w:p>
    <w:p>
      <w:pPr>
        <w:numPr>
          <w:ilvl w:val="1"/>
          <w:numId w:val="20"/>
        </w:numPr>
        <w:pBdr/>
        <w:spacing w:after="0" w:line="240" w:lineRule="auto"/>
        <w:ind w:hanging="357"/>
        <w:rPr/>
      </w:pPr>
      <w:r>
        <w:t xml:space="preserve">Webinaire expert - Déroulé d’un projet de géothermie, module expert 1/2 :  De l’opportunité au dimensionnement</w:t>
      </w:r>
      <w:r/>
    </w:p>
    <w:p>
      <w:pPr>
        <w:numPr>
          <w:ilvl w:val="1"/>
          <w:numId w:val="20"/>
        </w:numPr>
        <w:pBdr/>
        <w:spacing w:after="0" w:line="240" w:lineRule="auto"/>
        <w:ind w:hanging="357"/>
        <w:rPr/>
      </w:pPr>
      <w:r>
        <w:t xml:space="preserve">Webinaire expert - Déroulé d’un projet de géothermie, module expert 2/2 :  De la mise en œuvre au suivi de l’installation</w:t>
      </w:r>
      <w:r/>
    </w:p>
    <w:p>
      <w:pPr>
        <w:numPr>
          <w:ilvl w:val="0"/>
          <w:numId w:val="20"/>
        </w:numPr>
        <w:pBdr/>
        <w:spacing w:after="0" w:line="240" w:lineRule="auto"/>
        <w:ind w:hanging="357"/>
        <w:rPr/>
      </w:pPr>
      <w:r>
        <w:t xml:space="preserve">Prochain Comité </w:t>
      </w:r>
      <w:r>
        <w:t xml:space="preserve">Régional:</w:t>
      </w:r>
      <w:r>
        <w:t xml:space="preserve"> le 4 avril au Domaine </w:t>
      </w:r>
      <w:r>
        <w:t xml:space="preserve">Chapoutier</w:t>
      </w:r>
      <w:r>
        <w:t xml:space="preserve"> à Tain l’Hermitage</w:t>
      </w:r>
      <w:r/>
    </w:p>
    <w:p>
      <w:pPr>
        <w:pBdr/>
        <w:spacing w:after="0" w:line="240" w:lineRule="auto"/>
        <w:ind/>
        <w:rPr/>
      </w:pPr>
      <w:r>
        <w:rPr>
          <w:highlight w:val="none"/>
        </w:rPr>
      </w:r>
      <w:r>
        <w:rPr>
          <w:highlight w:val="none"/>
        </w:rPr>
      </w:r>
      <w:r/>
    </w:p>
    <w:p>
      <w:pPr>
        <w:pBdr/>
        <w:spacing w:after="0" w:line="240" w:lineRule="auto"/>
        <w:ind/>
        <w:rPr>
          <w:highlight w:val="none"/>
        </w:rPr>
      </w:pPr>
      <w:r>
        <w:t xml:space="preserve">=&gt; encourager les acteurs à se former</w:t>
      </w:r>
      <w:r>
        <w:rPr>
          <w:highlight w:val="none"/>
        </w:rPr>
      </w:r>
    </w:p>
    <w:p>
      <w:pPr>
        <w:pBdr/>
        <w:spacing w:after="0" w:line="240" w:lineRule="auto"/>
        <w:ind w:left="363"/>
        <w:rPr/>
      </w:pPr>
      <w:r/>
      <w:r/>
    </w:p>
    <w:p>
      <w:pPr>
        <w:pStyle w:val="982"/>
        <w:pBdr/>
        <w:spacing/>
        <w:ind/>
        <w:rPr/>
      </w:pPr>
      <w:r>
        <w:t xml:space="preserve">2/ renouvellement de la Prime éco-chaleur – délégation du Fonds Chaleur sur la Métropole de Lyon pour 3 années 2023-2026</w:t>
      </w:r>
      <w:r/>
    </w:p>
    <w:p>
      <w:pPr>
        <w:pStyle w:val="993"/>
        <w:numPr>
          <w:ilvl w:val="0"/>
          <w:numId w:val="32"/>
        </w:numPr>
        <w:pBdr/>
        <w:spacing/>
        <w:ind/>
        <w:rPr/>
      </w:pPr>
      <w:r>
        <w:rPr>
          <w:highlight w:val="none"/>
        </w:rPr>
        <w:t xml:space="preserve">Période ? 2023-2026</w:t>
      </w:r>
      <w:r>
        <w:rPr>
          <w:highlight w:val="none"/>
        </w:rPr>
      </w:r>
      <w:r/>
    </w:p>
    <w:p>
      <w:pPr>
        <w:pStyle w:val="993"/>
        <w:numPr>
          <w:ilvl w:val="0"/>
          <w:numId w:val="32"/>
        </w:numPr>
        <w:pBdr/>
        <w:spacing/>
        <w:ind/>
        <w:rPr/>
      </w:pPr>
      <w:r>
        <w:rPr>
          <w:highlight w:val="none"/>
        </w:rPr>
        <w:t xml:space="preserve">Pour qui ? Copropriété, bailleurs sociaux, entreprises, collectivités, industrie, ...</w:t>
      </w:r>
      <w:r>
        <w:rPr>
          <w:highlight w:val="none"/>
        </w:rPr>
      </w:r>
      <w:r/>
    </w:p>
    <w:p>
      <w:pPr>
        <w:pStyle w:val="993"/>
        <w:numPr>
          <w:ilvl w:val="0"/>
          <w:numId w:val="32"/>
        </w:numPr>
        <w:pBdr/>
        <w:spacing/>
        <w:ind/>
        <w:rPr/>
      </w:pPr>
      <w:r>
        <w:rPr>
          <w:highlight w:val="none"/>
        </w:rPr>
        <w:t xml:space="preserve">Quelle enveloppe ? E</w:t>
      </w:r>
      <w:r>
        <w:t xml:space="preserve">nveloppe d’aide de 13 300 000 €</w:t>
      </w:r>
      <w:r/>
    </w:p>
    <w:p>
      <w:pPr>
        <w:pBdr/>
        <w:spacing/>
        <w:ind/>
        <w:rPr>
          <w:rFonts w:eastAsiaTheme="majorEastAsia" w:cstheme="majorBidi"/>
          <w:b/>
          <w:color w:val="011970"/>
          <w:sz w:val="44"/>
          <w:szCs w:val="32"/>
        </w:rPr>
      </w:pPr>
      <w:r>
        <w:br w:type="page" w:clear="all"/>
      </w:r>
      <w:r>
        <w:rPr>
          <w:rFonts w:eastAsiaTheme="majorEastAsia" w:cstheme="majorBidi"/>
          <w:b/>
          <w:color w:val="011970"/>
          <w:sz w:val="44"/>
          <w:szCs w:val="32"/>
        </w:rPr>
      </w:r>
      <w:r>
        <w:rPr>
          <w:rFonts w:eastAsiaTheme="majorEastAsia" w:cstheme="majorBidi"/>
          <w:b/>
          <w:color w:val="011970"/>
          <w:sz w:val="44"/>
          <w:szCs w:val="32"/>
        </w:rPr>
      </w:r>
    </w:p>
    <w:p>
      <w:pPr>
        <w:pStyle w:val="981"/>
        <w:pBdr/>
        <w:spacing w:before="0" w:line="240" w:lineRule="auto"/>
        <w:ind/>
        <w:rPr/>
      </w:pPr>
      <w:r>
        <w:t xml:space="preserve">Présentation </w:t>
      </w:r>
      <w:r>
        <w:t xml:space="preserve">de retours d’expérience </w:t>
      </w:r>
      <w:r/>
    </w:p>
    <w:p>
      <w:pPr>
        <w:pStyle w:val="982"/>
        <w:pBdr/>
        <w:spacing/>
        <w:ind/>
        <w:rPr/>
      </w:pPr>
      <w:r>
        <w:rPr>
          <w:highlight w:val="none"/>
        </w:rPr>
        <w:t xml:space="preserve">0/ Préambule</w:t>
      </w:r>
      <w:r>
        <w:rPr>
          <w:highlight w:val="none"/>
        </w:rPr>
      </w:r>
      <w:r/>
    </w:p>
    <w:p>
      <w:pPr>
        <w:pStyle w:val="828"/>
        <w:pBdr/>
        <w:spacing/>
        <w:ind/>
        <w:rPr>
          <w:highlight w:val="none"/>
        </w:rPr>
      </w:pPr>
      <w:r>
        <w:rPr>
          <w:b/>
          <w:u w:val="single"/>
        </w:rPr>
        <w:t xml:space="preserve">Données ressources sur la solution</w:t>
      </w:r>
      <w:r>
        <w:t xml:space="preserve"> :</w:t>
      </w:r>
      <w:r>
        <w:rPr>
          <w:highlight w:val="none"/>
        </w:rPr>
      </w:r>
      <w:r>
        <w:rPr>
          <w:highlight w:val="none"/>
        </w:rPr>
      </w:r>
    </w:p>
    <w:p>
      <w:pPr>
        <w:pStyle w:val="993"/>
        <w:numPr>
          <w:ilvl w:val="0"/>
          <w:numId w:val="33"/>
        </w:numPr>
        <w:pBdr/>
        <w:spacing/>
        <w:ind/>
        <w:rPr/>
      </w:pPr>
      <w:r>
        <w:rPr>
          <w:highlight w:val="none"/>
        </w:rPr>
      </w:r>
      <w:r>
        <w:t xml:space="preserve">un rapport relatif au stockage intersaisonnier de chaleur (2023) publié par l’Académie des Sciences</w:t>
      </w:r>
      <w:r>
        <w:rPr>
          <w:highlight w:val="none"/>
        </w:rPr>
      </w:r>
      <w:r/>
    </w:p>
    <w:p>
      <w:pPr>
        <w:pBdr/>
        <w:spacing/>
        <w:ind w:firstLine="0" w:left="36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hyperlink r:id="rId12" w:tooltip="https://www.academie-technologies.fr/publications/le-stockage-intersaisonnier-de-chaleur-un-atout-pour-le-climat-et-la-souverainete/" w:history="1">
        <w:r>
          <w:rPr>
            <w:rStyle w:val="986"/>
            <w:highlight w:val="none"/>
          </w:rPr>
          <w:t xml:space="preserve">https://www.academie-technologies.fr/publications/le-stockage-intersaisonnier-de-chaleur-un-atout-pour-le-climat-et-la-souverainete/</w:t>
        </w:r>
        <w:r>
          <w:rPr>
            <w:rStyle w:val="986"/>
            <w:highlight w:val="none"/>
          </w:rPr>
        </w:r>
        <w:r>
          <w:rPr>
            <w:rStyle w:val="986"/>
            <w:highlight w:val="none"/>
          </w:rPr>
        </w:r>
      </w:hyperlink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 w:firstLine="0" w:left="360"/>
        <w:jc w:val="both"/>
        <w:rPr/>
      </w:pPr>
      <w:r>
        <w:rPr>
          <w:highlight w:val="none"/>
        </w:rPr>
      </w:r>
      <w:r>
        <w:t xml:space="preserve">Placée sous la tutelle du ministre chargé de la recherche et du  Président de la République, l'Académie des technologies a pour objectif  d'éclairer les débats et de mieux armer décideurs et citoyens sur des  choix technologiques "utiles et responsables, p</w:t>
      </w:r>
      <w:r>
        <w:t xml:space="preserve">orteurs d’amélioration des conditions de vie".</w:t>
      </w:r>
      <w:r>
        <w:rPr>
          <w:highlight w:val="none"/>
        </w:rPr>
      </w:r>
      <w:r/>
    </w:p>
    <w:p>
      <w:pPr>
        <w:pStyle w:val="993"/>
        <w:numPr>
          <w:ilvl w:val="0"/>
          <w:numId w:val="33"/>
        </w:numPr>
        <w:pBdr/>
        <w:spacing/>
        <w:ind/>
        <w:rPr/>
      </w:pPr>
      <w:r>
        <w:t xml:space="preserve">Support du webinaire AURA EE  Coupler solaire thermique/géothermie (2022)– niveau 4: </w:t>
      </w:r>
      <w:hyperlink r:id="rId13" w:tooltip="https://www.auvergnerhonealpes-ee.fr/fileadmin/user_upload/mediatheque/enr/Documents/Reseaux/RES-DHC/Sol_AURA_Niveau_4_-_Coupler_solaire_geothermie.pdf" w:history="1">
        <w:r>
          <w:rPr>
            <w:rStyle w:val="986"/>
          </w:rPr>
          <w:t xml:space="preserve">https://www.auvergnerhonealpes-ee.fr/fileadmin/user_upload/mediatheque/enr/Documents/Reseaux/RES-DHC/Sol_AURA_Niveau_4_-_Coupler_solaire_geothermie.pdf</w:t>
        </w:r>
      </w:hyperlink>
      <w:r/>
      <w:r/>
    </w:p>
    <w:p>
      <w:pPr>
        <w:pStyle w:val="982"/>
        <w:pBdr/>
        <w:spacing/>
        <w:ind w:firstLine="0" w:left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982"/>
        <w:pBdr/>
        <w:spacing/>
        <w:ind/>
        <w:rPr>
          <w:highlight w:val="none"/>
        </w:rPr>
      </w:pPr>
      <w:r>
        <w:t xml:space="preserve">1/</w:t>
      </w:r>
      <w:r>
        <w:t xml:space="preserve">Plana</w:t>
      </w:r>
      <w:r>
        <w:t xml:space="preserve">ir</w:t>
      </w:r>
      <w:r>
        <w:t xml:space="preserve">, BET thermique/fluides</w:t>
      </w:r>
      <w:r>
        <w:t xml:space="preserve"> – Lionel </w:t>
      </w:r>
      <w:r>
        <w:t xml:space="preserve">Robbe</w:t>
      </w:r>
      <w:r>
        <w:t xml:space="preserve"> </w:t>
      </w:r>
      <w:r>
        <w:rPr>
          <w:highlight w:val="none"/>
        </w:rPr>
      </w:r>
    </w:p>
    <w:p>
      <w:pPr>
        <w:pBdr/>
        <w:spacing/>
        <w:ind/>
        <w:rPr>
          <w:i/>
        </w:rPr>
      </w:pPr>
      <w:r>
        <w:rPr>
          <w:i/>
        </w:rPr>
        <w:t xml:space="preserve">Cf</w:t>
      </w:r>
      <w:r>
        <w:rPr>
          <w:i/>
        </w:rPr>
        <w:t xml:space="preserve">.</w:t>
      </w:r>
      <w:r>
        <w:rPr>
          <w:i/>
        </w:rPr>
        <w:t xml:space="preserve"> voir slides de présentation</w:t>
      </w:r>
      <w:r>
        <w:rPr>
          <w:i/>
        </w:rPr>
      </w:r>
      <w:r>
        <w:rPr>
          <w:i/>
        </w:rPr>
      </w:r>
    </w:p>
    <w:p>
      <w:pPr>
        <w:pBdr/>
        <w:spacing/>
        <w:ind/>
        <w:rPr/>
      </w:pPr>
      <w:r>
        <w:t xml:space="preserve">Présentation de l’intérêt calculatoire énergétique sur un cas d’étude couplant géothermie sur sonde</w:t>
      </w:r>
      <w:r>
        <w:t xml:space="preserve">s </w:t>
      </w:r>
      <w:r>
        <w:t xml:space="preserve">et récupération d’énergie fatale pour le stockage saisonnier</w:t>
      </w:r>
      <w:r>
        <w:t xml:space="preserve">.</w:t>
      </w:r>
      <w:r/>
    </w:p>
    <w:p>
      <w:pPr>
        <w:pBdr/>
        <w:spacing/>
        <w:ind/>
        <w:rPr/>
      </w:pPr>
      <w:r>
        <w:rPr>
          <w:b/>
          <w:u w:val="single"/>
        </w:rPr>
        <w:t xml:space="preserve">Présentation de 3 cas d’études</w:t>
      </w:r>
      <w:r>
        <w:rPr>
          <w:b/>
          <w:u w:val="single"/>
        </w:rPr>
        <w:t xml:space="preserve"> pour comparaison</w:t>
      </w:r>
      <w:r>
        <w:t xml:space="preserve"> :</w:t>
      </w:r>
      <w:r/>
    </w:p>
    <w:p>
      <w:pPr>
        <w:pStyle w:val="993"/>
        <w:numPr>
          <w:ilvl w:val="0"/>
          <w:numId w:val="21"/>
        </w:numPr>
        <w:pBdr/>
        <w:spacing/>
        <w:ind/>
        <w:rPr/>
      </w:pPr>
      <w:r>
        <w:t xml:space="preserve">1 – géothermie sur sondes classique - </w:t>
      </w:r>
      <w:r>
        <w:t xml:space="preserve">Immeuble de 28 logements neuf</w:t>
      </w:r>
      <w:r>
        <w:t xml:space="preserve"> – petit promoteur immobilier avec géothermie sur sondes (bâtiment performant étiquette A énergie) et </w:t>
      </w:r>
      <w:r>
        <w:t xml:space="preserve">géocooling</w:t>
      </w:r>
      <w:r/>
    </w:p>
    <w:p>
      <w:pPr>
        <w:pStyle w:val="993"/>
        <w:numPr>
          <w:ilvl w:val="1"/>
          <w:numId w:val="21"/>
        </w:numPr>
        <w:pBdr/>
        <w:spacing/>
        <w:ind/>
        <w:rPr/>
      </w:pPr>
      <w:r>
        <w:t xml:space="preserve">Mis en service début 2023</w:t>
      </w:r>
      <w:r/>
    </w:p>
    <w:p>
      <w:pPr>
        <w:pStyle w:val="993"/>
        <w:pBdr/>
        <w:spacing/>
        <w:ind w:left="1440"/>
        <w:rPr/>
      </w:pPr>
      <w:r/>
      <w:r/>
    </w:p>
    <w:p>
      <w:pPr>
        <w:pStyle w:val="993"/>
        <w:numPr>
          <w:ilvl w:val="0"/>
          <w:numId w:val="21"/>
        </w:numPr>
        <w:pBdr/>
        <w:spacing/>
        <w:ind/>
        <w:rPr/>
      </w:pPr>
      <w:r>
        <w:t xml:space="preserve">2 – géothermie sur sondes classique - </w:t>
      </w:r>
      <w:r>
        <w:t xml:space="preserve">Rénovation </w:t>
      </w:r>
      <w:r>
        <w:t xml:space="preserve">globale d’un bâtiment tertiaire – abaissement des niveaux de température – émetteurs poutre climatique permettant le chauffage et refroidissement</w:t>
      </w:r>
      <w:r/>
    </w:p>
    <w:p>
      <w:pPr>
        <w:pStyle w:val="993"/>
        <w:numPr>
          <w:ilvl w:val="1"/>
          <w:numId w:val="21"/>
        </w:numPr>
        <w:pBdr/>
        <w:spacing/>
        <w:ind/>
        <w:rPr/>
      </w:pPr>
      <w:r>
        <w:t xml:space="preserve">Réception fin Novembre 2023</w:t>
      </w:r>
      <w:r/>
    </w:p>
    <w:p>
      <w:pPr>
        <w:pStyle w:val="993"/>
        <w:pBdr/>
        <w:spacing/>
        <w:ind w:left="1440"/>
        <w:rPr/>
      </w:pPr>
      <w:r/>
      <w:r/>
    </w:p>
    <w:p>
      <w:pPr>
        <w:pStyle w:val="993"/>
        <w:numPr>
          <w:ilvl w:val="0"/>
          <w:numId w:val="21"/>
        </w:numPr>
        <w:pBdr/>
        <w:spacing/>
        <w:ind/>
        <w:rPr/>
      </w:pPr>
      <w:r>
        <w:t xml:space="preserve">3 – géothermie sur sondes avec récupération d’énergie fatale - e</w:t>
      </w:r>
      <w:r>
        <w:t xml:space="preserve">xtension d’un bâtiment industriel</w:t>
      </w:r>
      <w:r>
        <w:t xml:space="preserve"> -  initialement un bâtiment chauffé par chaudière gaz et refroidit par un groupe froide air/eau</w:t>
      </w:r>
      <w:r/>
    </w:p>
    <w:p>
      <w:pPr>
        <w:pStyle w:val="993"/>
        <w:numPr>
          <w:ilvl w:val="1"/>
          <w:numId w:val="21"/>
        </w:numPr>
        <w:pBdr/>
        <w:spacing/>
        <w:ind/>
        <w:rPr/>
      </w:pPr>
      <w:r>
        <w:t xml:space="preserve">Réflexion plus globale proposée avec récupération de la chaleur fatale</w:t>
      </w:r>
      <w:r/>
    </w:p>
    <w:p>
      <w:pPr>
        <w:pStyle w:val="993"/>
        <w:numPr>
          <w:ilvl w:val="1"/>
          <w:numId w:val="21"/>
        </w:numPr>
        <w:pBdr/>
        <w:spacing/>
        <w:ind/>
        <w:rPr/>
      </w:pPr>
      <w:r>
        <w:t xml:space="preserve">Il restait de la chaleur fatale non exploitable en été -&gt; proposition de réinjection dans les sondes</w:t>
      </w:r>
      <w:r/>
    </w:p>
    <w:p>
      <w:pPr>
        <w:pStyle w:val="993"/>
        <w:numPr>
          <w:ilvl w:val="1"/>
          <w:numId w:val="21"/>
        </w:numPr>
        <w:pBdr/>
        <w:spacing/>
        <w:ind/>
        <w:rPr/>
      </w:pPr>
      <w:r>
        <w:t xml:space="preserve">Les temps de retours avec les aides sont de l’ordre de 8-9 ans qui convenait dans ce cas sur ce porteur de projet « entreprise familiale »</w:t>
      </w:r>
      <w:r/>
    </w:p>
    <w:p>
      <w:pPr>
        <w:pStyle w:val="993"/>
        <w:numPr>
          <w:ilvl w:val="1"/>
          <w:numId w:val="21"/>
        </w:numPr>
        <w:pBdr/>
        <w:spacing/>
        <w:ind/>
        <w:rPr/>
      </w:pPr>
      <w:r>
        <w:t xml:space="preserve">Le bâtiment sera livré début 2025</w:t>
      </w:r>
      <w:r/>
    </w:p>
    <w:p>
      <w:pPr>
        <w:pBdr/>
        <w:spacing/>
        <w:ind/>
        <w:jc w:val="both"/>
        <w:rPr/>
      </w:pPr>
      <w:r>
        <w:rPr>
          <w:b/>
          <w:u w:val="single"/>
        </w:rPr>
        <w:t xml:space="preserve">Remarque</w:t>
      </w:r>
      <w:r>
        <w:t xml:space="preserve"> : difficulté du modèle STD sur un bâtiment industriel </w:t>
      </w:r>
      <w:r>
        <w:t xml:space="preserve">(sur du neuf) </w:t>
      </w:r>
      <w:r>
        <w:t xml:space="preserve">– plus simple de modéliser un bâtiment tertiaire avec les besoins associés.</w:t>
      </w:r>
      <w:r/>
    </w:p>
    <w:p>
      <w:pPr>
        <w:pBdr/>
        <w:spacing/>
        <w:ind/>
        <w:rPr>
          <w:b/>
          <w:bCs/>
          <w:color w:val="bf9000" w:themeColor="accent4" w:themeShade="BF"/>
          <w:sz w:val="24"/>
          <w:szCs w:val="24"/>
          <w:u w:val="single"/>
        </w:rPr>
      </w:pPr>
      <w:r>
        <w:rPr>
          <w:b/>
          <w:color w:val="bf9000" w:themeColor="accent4" w:themeShade="BF"/>
          <w:sz w:val="24"/>
          <w:szCs w:val="24"/>
          <w:highlight w:val="none"/>
          <w:u w:val="single"/>
        </w:rPr>
        <w:t xml:space="preserve">ECHANGES</w:t>
      </w:r>
      <w:r>
        <w:rPr>
          <w:b/>
          <w:color w:val="bf9000" w:themeColor="accent4" w:themeShade="BF"/>
          <w:sz w:val="24"/>
          <w:szCs w:val="24"/>
          <w:highlight w:val="none"/>
          <w:u w:val="single"/>
        </w:rPr>
      </w:r>
      <w:r>
        <w:rPr>
          <w:b/>
          <w:bCs/>
          <w:color w:val="bf9000" w:themeColor="accent4" w:themeShade="BF"/>
          <w:sz w:val="24"/>
          <w:szCs w:val="24"/>
          <w:u w:val="single"/>
        </w:rPr>
      </w:r>
    </w:p>
    <w:p>
      <w:pPr>
        <w:pBdr/>
        <w:spacing/>
        <w:ind/>
        <w:rPr>
          <w:b/>
          <w:bCs/>
          <w:highlight w:val="none"/>
          <w:u w:val="single"/>
        </w:rPr>
      </w:pPr>
      <w:r>
        <w:rPr>
          <w:b/>
          <w:u w:val="single"/>
        </w:rPr>
        <w:t xml:space="preserve">1/</w:t>
      </w:r>
      <w:r>
        <w:rPr>
          <w:b/>
          <w:u w:val="single"/>
        </w:rPr>
        <w:t xml:space="preserve">Quels types d’usage sur le cas industriel ? (</w:t>
      </w:r>
      <w:r>
        <w:rPr>
          <w:b/>
          <w:u w:val="single"/>
        </w:rPr>
        <w:t xml:space="preserve">ANTEA)</w:t>
      </w:r>
      <w:r>
        <w:rPr>
          <w:b/>
          <w:u w:val="single"/>
        </w:rPr>
        <w:t xml:space="preserve"> </w:t>
      </w:r>
      <w:r>
        <w:rPr>
          <w:b/>
          <w:u w:val="single"/>
        </w:rPr>
        <w:t xml:space="preserve"> Quels</w:t>
      </w:r>
      <w:r>
        <w:rPr>
          <w:b/>
          <w:u w:val="single"/>
        </w:rPr>
        <w:t xml:space="preserve"> types de besoins ?</w:t>
      </w:r>
      <w:r>
        <w:rPr>
          <w:b/>
          <w:bCs/>
          <w:highlight w:val="none"/>
          <w:u w:val="single"/>
        </w:rPr>
      </w:r>
      <w:r>
        <w:rPr>
          <w:b/>
          <w:bCs/>
          <w:highlight w:val="none"/>
          <w:u w:val="single"/>
        </w:rPr>
      </w:r>
    </w:p>
    <w:p>
      <w:pPr>
        <w:pBdr/>
        <w:spacing/>
        <w:ind/>
        <w:rPr/>
      </w:pPr>
      <w:r>
        <w:t xml:space="preserve">Chauffage classique des locaux </w:t>
      </w:r>
      <w:r>
        <w:t xml:space="preserve">et traitement d’air pour maintien en température</w:t>
      </w:r>
      <w:r>
        <w:t xml:space="preserve">.</w:t>
      </w:r>
      <w:r>
        <w:t xml:space="preserve"> </w:t>
      </w:r>
      <w:r/>
    </w:p>
    <w:p>
      <w:pPr>
        <w:pBdr/>
        <w:spacing/>
        <w:ind/>
        <w:rPr/>
      </w:pPr>
      <w:r>
        <w:t xml:space="preserve">L’installation est dimensionnée sur un régime de 45 °C (basse température)</w:t>
      </w:r>
      <w:r/>
    </w:p>
    <w:p>
      <w:pPr>
        <w:pStyle w:val="993"/>
        <w:numPr>
          <w:ilvl w:val="1"/>
          <w:numId w:val="14"/>
        </w:numPr>
        <w:pBdr/>
        <w:spacing/>
        <w:ind/>
        <w:rPr/>
      </w:pPr>
      <w:r>
        <w:t xml:space="preserve">Sur le froid : refroidissement du processus avec échangeur immergé</w:t>
      </w:r>
      <w:r/>
    </w:p>
    <w:p>
      <w:pPr>
        <w:pStyle w:val="993"/>
        <w:numPr>
          <w:ilvl w:val="1"/>
          <w:numId w:val="14"/>
        </w:numPr>
        <w:pBdr/>
        <w:spacing/>
        <w:ind/>
        <w:rPr>
          <w:b/>
          <w:bCs/>
        </w:rPr>
      </w:pPr>
      <w:r>
        <w:t xml:space="preserve">En été : refroidissement classique des locaux avec centrale de traitement d’air et récupération de la chaleur sur les compresseurs qui vient ensuite alimenter les </w:t>
      </w:r>
      <w:r>
        <w:rPr>
          <w:b w:val="0"/>
          <w:bCs w:val="0"/>
        </w:rPr>
        <w:t xml:space="preserve">sondes (PAC eau/eau réversible) </w:t>
      </w:r>
      <w:r>
        <w:rPr>
          <w:b/>
          <w:bCs/>
        </w:rPr>
      </w:r>
      <w:r>
        <w:rPr>
          <w:b/>
          <w:bCs/>
        </w:rPr>
      </w:r>
    </w:p>
    <w:p>
      <w:pPr>
        <w:pBdr/>
        <w:spacing/>
        <w:ind/>
        <w:jc w:val="both"/>
        <w:rPr/>
      </w:pPr>
      <w:r>
        <w:rPr>
          <w:b/>
          <w:bCs/>
        </w:rPr>
        <w:t xml:space="preserve">Remarque</w:t>
      </w:r>
      <w:r>
        <w:t xml:space="preserve"> : </w:t>
      </w:r>
      <w:r>
        <w:t xml:space="preserve">Si on a un déséquilibre de besoin entre chaud et froid, il faut penser à écarter les sondes (10 ml minimum) les unes par rapport aux autres</w:t>
      </w:r>
      <w:r>
        <w:t xml:space="preserve">. La recharge permet de </w:t>
      </w:r>
      <w:r>
        <w:t xml:space="preserve">reéquilibrer</w:t>
      </w:r>
      <w:r>
        <w:t xml:space="preserve"> les bilans énergie et rapprocher les sondes. </w:t>
      </w:r>
      <w:r>
        <w:t xml:space="preserve"> </w:t>
      </w:r>
      <w:r/>
    </w:p>
    <w:p>
      <w:pPr>
        <w:pBdr/>
        <w:spacing/>
        <w:ind/>
        <w:jc w:val="both"/>
        <w:rPr>
          <w:b/>
          <w:bCs/>
          <w:highlight w:val="none"/>
        </w:rPr>
      </w:pPr>
      <w:r>
        <w:t xml:space="preserve">L’intérêt de réinjecter de la chaleur dans les sondes est de tirer plus d’énergie par </w:t>
      </w:r>
      <w:r>
        <w:t xml:space="preserve">mètre</w:t>
      </w:r>
      <w:r>
        <w:t xml:space="preserve"> linéaire de sonde (donc de financer l’installation car </w:t>
      </w:r>
      <w:r>
        <w:t xml:space="preserve">d’un côté l’aide ADEME est en €/</w:t>
      </w:r>
      <w:r>
        <w:t xml:space="preserve">MWhEnR</w:t>
      </w:r>
      <w:r>
        <w:t xml:space="preserve"> soutiré et de </w:t>
      </w:r>
      <w:r>
        <w:t xml:space="preserve">l’autre l’investissement est moins important avec moins de</w:t>
      </w:r>
      <w:r>
        <w:t xml:space="preserve"> ml</w:t>
      </w:r>
      <w:r>
        <w:t xml:space="preserve"> sondes pour soutirer la même quantité d’énergie</w:t>
      </w:r>
      <w:r>
        <w:t xml:space="preserve">) </w:t>
      </w:r>
      <w:r>
        <w:rPr>
          <w:b/>
        </w:rPr>
        <w:t xml:space="preserve">&gt;&gt; améliore le ratio aide/investissement</w:t>
      </w:r>
      <w:r>
        <w:rPr>
          <w:b/>
          <w:bCs/>
          <w:highlight w:val="none"/>
        </w:rPr>
      </w:r>
    </w:p>
    <w:p>
      <w:pPr>
        <w:pBdr/>
        <w:spacing/>
        <w:ind/>
        <w:jc w:val="both"/>
        <w:rPr/>
      </w:pPr>
      <w:r>
        <w:rPr>
          <w:b/>
          <w:highlight w:val="none"/>
        </w:rPr>
        <w:t xml:space="preserve">Remarque :</w:t>
      </w:r>
      <w:r>
        <w:rPr>
          <w:b w:val="0"/>
          <w:bCs w:val="0"/>
          <w:highlight w:val="none"/>
        </w:rPr>
        <w:t xml:space="preserve"> l’ADEME est en cours de réflexion pour aider ces solutions dans le cadre de programme d’aides dédiés.</w:t>
      </w:r>
      <w:r>
        <w:rPr>
          <w:b/>
          <w:highlight w:val="none"/>
        </w:rPr>
      </w:r>
      <w:r/>
    </w:p>
    <w:p>
      <w:pPr>
        <w:pBdr/>
        <w:spacing/>
        <w:ind/>
        <w:rPr/>
      </w:pPr>
      <w:r>
        <w:t xml:space="preserve">Si on couple avec du solaire thermique </w:t>
      </w:r>
      <w:r>
        <w:rPr>
          <w:b/>
        </w:rPr>
        <w:t xml:space="preserve">&gt;&gt; régime de température dans le champ de sonde ne sera pas le même &gt;&gt; moins de sonde</w:t>
      </w:r>
      <w:r>
        <w:rPr>
          <w:b/>
        </w:rPr>
        <w:t xml:space="preserve">s</w:t>
      </w:r>
      <w:r>
        <w:rPr>
          <w:b/>
        </w:rPr>
        <w:t xml:space="preserve"> et régime de température plus haut (dépend aussi de l’échangeur entre les sondes et l’installation solaire thermique</w:t>
      </w:r>
      <w:r>
        <w:rPr>
          <w:b/>
        </w:rPr>
        <w:t xml:space="preserve">)</w:t>
      </w:r>
      <w:r/>
    </w:p>
    <w:p>
      <w:pPr>
        <w:pBdr/>
        <w:spacing/>
        <w:ind/>
        <w:rPr>
          <w:rFonts w:asciiTheme="majorHAnsi" w:hAnsiTheme="majorHAnsi" w:eastAsiaTheme="majorEastAsia" w:cstheme="majorBidi"/>
          <w:b/>
          <w:color w:val="2e74b5" w:themeColor="accent1" w:themeShade="BF"/>
          <w:sz w:val="26"/>
          <w:szCs w:val="26"/>
        </w:rPr>
      </w:pPr>
      <w:r>
        <w:rPr>
          <w:b/>
        </w:rPr>
        <w:t xml:space="preserve">Remarque :  </w:t>
      </w:r>
      <w:r>
        <w:t xml:space="preserve">pour la SERL Energie, ce couplage est un vrai objet commercial dans le cadre de tiers-investissement pour un promoteur par exemple</w:t>
      </w:r>
      <w:r>
        <w:rPr>
          <w:b/>
        </w:rPr>
        <w:br w:type="page" w:clear="all"/>
      </w:r>
      <w:r>
        <w:rPr>
          <w:rFonts w:asciiTheme="majorHAnsi" w:hAnsiTheme="majorHAnsi" w:eastAsiaTheme="majorEastAsia" w:cstheme="majorBidi"/>
          <w:b/>
          <w:color w:val="2e74b5" w:themeColor="accent1" w:themeShade="BF"/>
          <w:sz w:val="26"/>
          <w:szCs w:val="26"/>
        </w:rPr>
      </w:r>
      <w:r>
        <w:rPr>
          <w:rFonts w:asciiTheme="majorHAnsi" w:hAnsiTheme="majorHAnsi" w:eastAsiaTheme="majorEastAsia" w:cstheme="majorBidi"/>
          <w:b/>
          <w:color w:val="2e74b5" w:themeColor="accent1" w:themeShade="BF"/>
          <w:sz w:val="26"/>
          <w:szCs w:val="26"/>
        </w:rPr>
      </w:r>
    </w:p>
    <w:p>
      <w:pPr>
        <w:pStyle w:val="982"/>
        <w:pBdr/>
        <w:spacing/>
        <w:ind/>
        <w:rPr/>
      </w:pPr>
      <w:r>
        <w:t xml:space="preserve">2/ </w:t>
      </w:r>
      <w:r>
        <w:t xml:space="preserve">Cylerg</w:t>
      </w:r>
      <w:r>
        <w:t xml:space="preserve">ie</w:t>
      </w:r>
      <w:r>
        <w:t xml:space="preserve">, laboratoire de recherche ENGIE – Mathilde </w:t>
      </w:r>
      <w:r>
        <w:t xml:space="preserve">Veyron</w:t>
      </w:r>
      <w:r/>
    </w:p>
    <w:p>
      <w:pPr>
        <w:pBdr/>
        <w:spacing/>
        <w:ind/>
        <w:rPr>
          <w:i/>
        </w:rPr>
      </w:pPr>
      <w:r>
        <w:rPr>
          <w:i/>
        </w:rPr>
        <w:t xml:space="preserve">Cf</w:t>
      </w:r>
      <w:r>
        <w:rPr>
          <w:i/>
        </w:rPr>
        <w:t xml:space="preserve">.</w:t>
      </w:r>
      <w:r>
        <w:rPr>
          <w:i/>
        </w:rPr>
        <w:t xml:space="preserve"> voir slides de présentation</w:t>
      </w:r>
      <w:r>
        <w:rPr>
          <w:i/>
        </w:rPr>
      </w:r>
      <w:r>
        <w:rPr>
          <w:i/>
        </w:rPr>
      </w:r>
    </w:p>
    <w:p>
      <w:pPr>
        <w:pBdr/>
        <w:spacing/>
        <w:ind/>
        <w:rPr/>
      </w:pPr>
      <w:r>
        <w:t xml:space="preserve">Stockage</w:t>
      </w:r>
      <w:r>
        <w:t xml:space="preserve"> du solaire thermique dans les sondes </w:t>
      </w:r>
      <w:r/>
    </w:p>
    <w:p>
      <w:pPr>
        <w:pStyle w:val="994"/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Exemple du ré</w:t>
      </w:r>
      <w:r>
        <w:rPr>
          <w:rFonts w:ascii="Calibri" w:hAnsi="Calibri" w:cs="Calibri"/>
          <w:sz w:val="22"/>
          <w:szCs w:val="22"/>
        </w:rPr>
        <w:t xml:space="preserve">seau de</w:t>
      </w:r>
      <w:r>
        <w:rPr>
          <w:rFonts w:ascii="Calibri" w:hAnsi="Calibri" w:cs="Calibri"/>
          <w:sz w:val="22"/>
          <w:szCs w:val="22"/>
        </w:rPr>
        <w:t xml:space="preserve"> chaleur C</w:t>
      </w:r>
      <w:r>
        <w:rPr>
          <w:rFonts w:ascii="Calibri" w:hAnsi="Calibri" w:cs="Calibri"/>
          <w:sz w:val="22"/>
          <w:szCs w:val="22"/>
        </w:rPr>
        <w:t xml:space="preserve">hateaubriand : lorsque qu’il y a surproduction solaire en été &gt;&gt; stockage de chaleur solaire (avril à septembre) puis décharge le stockage en hiver (octobre à mars)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numPr>
          <w:ilvl w:val="0"/>
          <w:numId w:val="14"/>
        </w:numPr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Eté :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Injection dans le champ de sondes entre 50 et 80°C</w:t>
      </w:r>
      <w:r>
        <w:rPr>
          <w:rFonts w:ascii="Calibri" w:hAnsi="Calibri" w:cs="Calibri"/>
          <w:sz w:val="22"/>
          <w:szCs w:val="22"/>
        </w:rPr>
        <w:t xml:space="preserve"> (haute température)</w:t>
      </w:r>
      <w:r>
        <w:rPr>
          <w:rFonts w:ascii="Calibri" w:hAnsi="Calibri" w:cs="Calibri"/>
          <w:sz w:val="22"/>
          <w:szCs w:val="22"/>
        </w:rPr>
        <w:t xml:space="preserve"> et </w:t>
      </w:r>
      <w:r>
        <w:rPr>
          <w:rFonts w:ascii="Calibri" w:hAnsi="Calibri" w:cs="Calibri"/>
          <w:sz w:val="22"/>
          <w:szCs w:val="22"/>
        </w:rPr>
        <w:t xml:space="preserve">destockage</w:t>
      </w:r>
      <w:r>
        <w:rPr>
          <w:rFonts w:ascii="Calibri" w:hAnsi="Calibri" w:cs="Calibri"/>
          <w:sz w:val="22"/>
          <w:szCs w:val="22"/>
        </w:rPr>
        <w:t xml:space="preserve"> entre 20 et 10°C après passage par ballon tampon. 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numPr>
          <w:ilvl w:val="0"/>
          <w:numId w:val="13"/>
        </w:numPr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Hiver : Décharge </w:t>
      </w:r>
      <w:r>
        <w:rPr>
          <w:rFonts w:ascii="Calibri" w:hAnsi="Calibri" w:cs="Calibri"/>
          <w:sz w:val="22"/>
          <w:szCs w:val="22"/>
        </w:rPr>
        <w:t xml:space="preserve">le champ</w:t>
      </w:r>
      <w:r>
        <w:rPr>
          <w:rFonts w:ascii="Calibri" w:hAnsi="Calibri" w:cs="Calibri"/>
          <w:sz w:val="22"/>
          <w:szCs w:val="22"/>
        </w:rPr>
        <w:t xml:space="preserve"> de sonde 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Rendement de 35 % - </w:t>
      </w:r>
      <w:r>
        <w:rPr>
          <w:rFonts w:ascii="Calibri" w:hAnsi="Calibri" w:cs="Calibri"/>
          <w:sz w:val="22"/>
          <w:szCs w:val="22"/>
        </w:rPr>
        <w:t xml:space="preserve">Energie chargée : 100 </w:t>
      </w:r>
      <w:r>
        <w:rPr>
          <w:rFonts w:ascii="Calibri" w:hAnsi="Calibri" w:cs="Calibri"/>
          <w:sz w:val="22"/>
          <w:szCs w:val="22"/>
        </w:rPr>
        <w:t xml:space="preserve">MWh</w:t>
      </w:r>
      <w:r>
        <w:rPr>
          <w:rFonts w:ascii="Calibri" w:hAnsi="Calibri" w:cs="Calibri"/>
          <w:sz w:val="22"/>
          <w:szCs w:val="22"/>
        </w:rPr>
        <w:t xml:space="preserve"> /</w:t>
      </w:r>
      <w:r>
        <w:rPr>
          <w:rFonts w:ascii="Calibri" w:hAnsi="Calibri" w:cs="Calibri"/>
          <w:sz w:val="22"/>
          <w:szCs w:val="22"/>
        </w:rPr>
        <w:t xml:space="preserve"> Énergie déchargée : ~ 35 </w:t>
      </w:r>
      <w:r>
        <w:rPr>
          <w:rFonts w:ascii="Calibri" w:hAnsi="Calibri" w:cs="Calibri"/>
          <w:sz w:val="22"/>
          <w:szCs w:val="22"/>
        </w:rPr>
        <w:t xml:space="preserve">MWh 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Bdr/>
        <w:spacing/>
        <w:ind/>
        <w:rPr/>
      </w:pPr>
      <w:r>
        <w:rPr>
          <w:b/>
        </w:rPr>
        <w:t xml:space="preserve">Points d’attention</w:t>
      </w:r>
      <w:r>
        <w:t xml:space="preserve"> :</w:t>
      </w:r>
      <w:r/>
    </w:p>
    <w:p>
      <w:pPr>
        <w:pStyle w:val="993"/>
        <w:numPr>
          <w:ilvl w:val="0"/>
          <w:numId w:val="14"/>
        </w:numPr>
        <w:pBdr/>
        <w:spacing w:after="0" w:line="240" w:lineRule="auto"/>
        <w:ind w:hanging="357" w:left="714"/>
        <w:rPr/>
      </w:pPr>
      <w:r>
        <w:t xml:space="preserve">Différence de notion entre recharge du sol et stockage </w:t>
      </w:r>
      <w:r/>
    </w:p>
    <w:p>
      <w:pPr>
        <w:pStyle w:val="993"/>
        <w:numPr>
          <w:ilvl w:val="1"/>
          <w:numId w:val="14"/>
        </w:numPr>
        <w:pBdr/>
        <w:spacing w:after="0" w:line="240" w:lineRule="auto"/>
        <w:ind/>
        <w:rPr>
          <w:b/>
        </w:rPr>
      </w:pPr>
      <w:r>
        <w:rPr>
          <w:b/>
        </w:rPr>
        <w:t xml:space="preserve">Stockage – injection de chaleur haute température</w:t>
      </w:r>
      <w:r>
        <w:rPr>
          <w:b/>
        </w:rPr>
      </w:r>
      <w:r>
        <w:rPr>
          <w:b/>
        </w:rPr>
      </w:r>
    </w:p>
    <w:p>
      <w:pPr>
        <w:pStyle w:val="993"/>
        <w:numPr>
          <w:ilvl w:val="1"/>
          <w:numId w:val="14"/>
        </w:numPr>
        <w:pBdr/>
        <w:spacing w:after="0" w:line="240" w:lineRule="auto"/>
        <w:ind/>
        <w:rPr>
          <w:b/>
        </w:rPr>
      </w:pPr>
      <w:r>
        <w:rPr>
          <w:b/>
        </w:rPr>
        <w:t xml:space="preserve">Recharge – injection de chaleur basse/moyenne température (moins de déperditions)</w:t>
      </w:r>
      <w:r>
        <w:rPr>
          <w:b/>
        </w:rPr>
      </w:r>
      <w:r>
        <w:rPr>
          <w:b/>
        </w:rPr>
      </w:r>
    </w:p>
    <w:p>
      <w:pPr>
        <w:pStyle w:val="993"/>
        <w:numPr>
          <w:ilvl w:val="0"/>
          <w:numId w:val="14"/>
        </w:numPr>
        <w:pBdr/>
        <w:spacing w:after="0" w:line="240" w:lineRule="auto"/>
        <w:ind w:hanging="357" w:left="714"/>
        <w:rPr/>
      </w:pPr>
      <w:r>
        <w:t xml:space="preserve">Intérêt de la géothermie dans le cas réseau chaleur de Chateaubriand : décharger les panneaux solaires pour ne pas qu’ils soient en surproduction. La solution permet de solutionner un surdimensionnement de l’installation solaire thermique.</w:t>
      </w:r>
      <w:r/>
    </w:p>
    <w:p>
      <w:pPr>
        <w:pStyle w:val="993"/>
        <w:numPr>
          <w:ilvl w:val="0"/>
          <w:numId w:val="14"/>
        </w:numPr>
        <w:pBdr/>
        <w:spacing w:after="0" w:line="240" w:lineRule="auto"/>
        <w:ind w:hanging="357" w:left="714"/>
        <w:rPr/>
      </w:pPr>
      <w:r>
        <w:t xml:space="preserve">Déchargement du champ de sondes : 2% de la consommation par an</w:t>
      </w:r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>
        <w:rPr>
          <w:b/>
        </w:rPr>
        <w:t xml:space="preserve">Remarque</w:t>
      </w:r>
      <w:r>
        <w:t xml:space="preserve"> : retour des données du projet STORENGY sur Annecy sur la fin de Février 2024</w:t>
      </w:r>
      <w:r/>
    </w:p>
    <w:p>
      <w:pPr>
        <w:pBdr/>
        <w:spacing/>
        <w:ind/>
        <w:rPr>
          <w:highlight w:val="yellow"/>
        </w:rPr>
      </w:pPr>
      <w:r>
        <w:rPr>
          <w:highlight w:val="none"/>
        </w:rPr>
        <w:t xml:space="preserve">=&gt;</w:t>
      </w:r>
      <w:r>
        <w:rPr>
          <w:highlight w:val="yellow"/>
        </w:rPr>
        <w:t xml:space="preserve">En attente du retour de Mathilde </w:t>
      </w:r>
      <w:r>
        <w:rPr>
          <w:highlight w:val="yellow"/>
        </w:rPr>
        <w:t xml:space="preserve">Veyron</w:t>
      </w:r>
      <w:r>
        <w:rPr>
          <w:highlight w:val="yellow"/>
        </w:rPr>
        <w:t xml:space="preserve"> de STORENGY – pour Mars-Avril 2024</w:t>
      </w:r>
      <w:r>
        <w:rPr>
          <w:highlight w:val="yellow"/>
        </w:rPr>
      </w:r>
      <w:r>
        <w:rPr>
          <w:highlight w:val="yellow"/>
        </w:rPr>
      </w:r>
    </w:p>
    <w:p>
      <w:pPr>
        <w:pBdr/>
        <w:spacing/>
        <w:ind/>
        <w:rPr>
          <w:rFonts w:eastAsiaTheme="majorEastAsia" w:cstheme="majorBidi"/>
          <w:b/>
          <w:color w:val="011970"/>
          <w:sz w:val="44"/>
          <w:szCs w:val="32"/>
        </w:rPr>
      </w:pPr>
      <w:r>
        <w:rPr>
          <w:rFonts w:eastAsiaTheme="majorEastAsia" w:cstheme="majorBidi"/>
          <w:b/>
          <w:color w:val="011970"/>
          <w:sz w:val="44"/>
          <w:szCs w:val="32"/>
        </w:rPr>
      </w:r>
      <w:r>
        <w:rPr>
          <w:rFonts w:eastAsiaTheme="majorEastAsia" w:cstheme="majorBidi"/>
          <w:b/>
          <w:color w:val="011970"/>
          <w:sz w:val="44"/>
          <w:szCs w:val="32"/>
        </w:rPr>
      </w:r>
      <w:r>
        <w:rPr>
          <w:rFonts w:eastAsiaTheme="majorEastAsia" w:cstheme="majorBidi"/>
          <w:b/>
          <w:color w:val="011970"/>
          <w:sz w:val="44"/>
          <w:szCs w:val="32"/>
        </w:rPr>
      </w:r>
    </w:p>
    <w:p>
      <w:pPr>
        <w:pBdr/>
        <w:spacing/>
        <w:ind/>
        <w:rPr>
          <w:rFonts w:eastAsiaTheme="majorEastAsia" w:cstheme="majorBidi"/>
          <w:b/>
          <w:color w:val="011970"/>
          <w:sz w:val="44"/>
          <w:szCs w:val="32"/>
        </w:rPr>
      </w:pPr>
      <w:r>
        <w:rPr>
          <w:rFonts w:eastAsiaTheme="majorEastAsia" w:cstheme="majorBidi"/>
          <w:b/>
          <w:color w:val="011970"/>
          <w:sz w:val="44"/>
          <w:szCs w:val="32"/>
        </w:rPr>
      </w:r>
      <w:r>
        <w:rPr>
          <w:rFonts w:eastAsiaTheme="majorEastAsia" w:cstheme="majorBidi"/>
          <w:b/>
          <w:color w:val="011970"/>
          <w:sz w:val="44"/>
          <w:szCs w:val="32"/>
        </w:rPr>
      </w:r>
      <w:r>
        <w:rPr>
          <w:rFonts w:eastAsiaTheme="majorEastAsia" w:cstheme="majorBidi"/>
          <w:b/>
          <w:color w:val="011970"/>
          <w:sz w:val="44"/>
          <w:szCs w:val="32"/>
        </w:rPr>
      </w:r>
    </w:p>
    <w:p>
      <w:pPr>
        <w:pBdr/>
        <w:spacing/>
        <w:ind/>
        <w:rPr>
          <w:rFonts w:eastAsiaTheme="majorEastAsia" w:cstheme="majorBidi"/>
          <w:b/>
          <w:color w:val="011970"/>
          <w:sz w:val="44"/>
          <w:szCs w:val="32"/>
        </w:rPr>
      </w:pPr>
      <w:r>
        <w:rPr>
          <w:rFonts w:eastAsiaTheme="majorEastAsia" w:cstheme="majorBidi"/>
          <w:b/>
          <w:color w:val="011970"/>
          <w:sz w:val="44"/>
          <w:szCs w:val="32"/>
        </w:rPr>
        <w:br w:type="page" w:clear="all"/>
      </w:r>
      <w:r>
        <w:rPr>
          <w:rFonts w:eastAsiaTheme="majorEastAsia" w:cstheme="majorBidi"/>
          <w:b/>
          <w:color w:val="011970"/>
          <w:sz w:val="44"/>
          <w:szCs w:val="32"/>
        </w:rPr>
      </w:r>
      <w:r>
        <w:rPr>
          <w:rFonts w:eastAsiaTheme="majorEastAsia" w:cstheme="majorBidi"/>
          <w:b/>
          <w:color w:val="011970"/>
          <w:sz w:val="44"/>
          <w:szCs w:val="32"/>
        </w:rPr>
      </w:r>
    </w:p>
    <w:p>
      <w:pPr>
        <w:pBdr/>
        <w:spacing w:after="0" w:line="240" w:lineRule="auto"/>
        <w:ind/>
        <w:rPr>
          <w:rFonts w:eastAsiaTheme="majorEastAsia" w:cstheme="majorBidi"/>
          <w:b/>
          <w:color w:val="011970"/>
          <w:sz w:val="44"/>
          <w:szCs w:val="32"/>
        </w:rPr>
      </w:pPr>
      <w:r>
        <w:rPr>
          <w:rFonts w:eastAsiaTheme="majorEastAsia" w:cstheme="majorBidi"/>
          <w:b/>
          <w:color w:val="011970"/>
          <w:sz w:val="44"/>
          <w:szCs w:val="32"/>
        </w:rPr>
        <w:t xml:space="preserve">L</w:t>
      </w:r>
      <w:r>
        <w:rPr>
          <w:rFonts w:eastAsiaTheme="majorEastAsia" w:cstheme="majorBidi"/>
          <w:b/>
          <w:color w:val="011970"/>
          <w:sz w:val="44"/>
          <w:szCs w:val="32"/>
        </w:rPr>
        <w:t xml:space="preserve">e contexte hydrogéologique lyonnais</w:t>
      </w:r>
      <w:r>
        <w:rPr>
          <w:rFonts w:eastAsiaTheme="majorEastAsia" w:cstheme="majorBidi"/>
          <w:b/>
          <w:color w:val="011970"/>
          <w:sz w:val="44"/>
          <w:szCs w:val="32"/>
        </w:rPr>
        <w:t xml:space="preserve"> :  c</w:t>
      </w:r>
      <w:r>
        <w:rPr>
          <w:rFonts w:eastAsiaTheme="majorEastAsia" w:cstheme="majorBidi"/>
          <w:b/>
          <w:color w:val="011970"/>
          <w:sz w:val="44"/>
          <w:szCs w:val="32"/>
        </w:rPr>
        <w:t xml:space="preserve">aractéristiques recherchées et ciblage géographique</w:t>
      </w:r>
      <w:r>
        <w:rPr>
          <w:rFonts w:eastAsiaTheme="majorEastAsia" w:cstheme="majorBidi"/>
          <w:b/>
          <w:color w:val="011970"/>
          <w:sz w:val="44"/>
          <w:szCs w:val="32"/>
        </w:rPr>
        <w:t xml:space="preserve"> </w:t>
      </w:r>
      <w:r>
        <w:rPr>
          <w:rFonts w:eastAsiaTheme="majorEastAsia" w:cstheme="majorBidi"/>
          <w:b/>
          <w:color w:val="011970"/>
          <w:sz w:val="44"/>
          <w:szCs w:val="32"/>
        </w:rPr>
        <w:t xml:space="preserve">? </w:t>
      </w:r>
      <w:r>
        <w:rPr>
          <w:rFonts w:eastAsiaTheme="majorEastAsia" w:cstheme="majorBidi"/>
          <w:b/>
          <w:color w:val="011970"/>
          <w:sz w:val="44"/>
          <w:szCs w:val="32"/>
        </w:rPr>
      </w:r>
      <w:r>
        <w:rPr>
          <w:rFonts w:eastAsiaTheme="majorEastAsia" w:cstheme="majorBidi"/>
          <w:b/>
          <w:color w:val="011970"/>
          <w:sz w:val="44"/>
          <w:szCs w:val="32"/>
        </w:rPr>
      </w:r>
    </w:p>
    <w:p>
      <w:pPr>
        <w:pBdr/>
        <w:spacing/>
        <w:ind/>
        <w:rPr>
          <w:i/>
        </w:rPr>
      </w:pPr>
      <w:r>
        <w:rPr>
          <w:i/>
        </w:rPr>
        <w:t xml:space="preserve">Cf</w:t>
      </w:r>
      <w:r>
        <w:rPr>
          <w:i/>
        </w:rPr>
        <w:t xml:space="preserve">.</w:t>
      </w:r>
      <w:r>
        <w:rPr>
          <w:i/>
        </w:rPr>
        <w:t xml:space="preserve"> voir slides de présentation</w:t>
      </w:r>
      <w:r>
        <w:rPr>
          <w:i/>
        </w:rPr>
      </w:r>
      <w:r>
        <w:rPr>
          <w:i/>
        </w:rPr>
      </w:r>
    </w:p>
    <w:p>
      <w:pPr>
        <w:pStyle w:val="994"/>
        <w:numPr>
          <w:ilvl w:val="0"/>
          <w:numId w:val="15"/>
        </w:numPr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Es</w:t>
      </w:r>
      <w:r>
        <w:rPr>
          <w:rFonts w:ascii="Calibri" w:hAnsi="Calibri" w:cs="Calibri"/>
          <w:sz w:val="22"/>
          <w:szCs w:val="22"/>
        </w:rPr>
        <w:t xml:space="preserve">t Lyonnais : terrain </w:t>
      </w:r>
      <w:r>
        <w:rPr>
          <w:rFonts w:ascii="Calibri" w:hAnsi="Calibri" w:cs="Calibri"/>
          <w:sz w:val="22"/>
          <w:szCs w:val="22"/>
        </w:rPr>
        <w:t xml:space="preserve">sédimentaire</w:t>
      </w:r>
      <w:r>
        <w:rPr>
          <w:rFonts w:ascii="Calibri" w:hAnsi="Calibri" w:cs="Calibri"/>
          <w:sz w:val="22"/>
          <w:szCs w:val="22"/>
        </w:rPr>
        <w:t xml:space="preserve"> et bonne circulation d'eau </w:t>
      </w:r>
      <w:r>
        <w:rPr>
          <w:rFonts w:ascii="Calibri" w:hAnsi="Calibri" w:cs="Calibri"/>
          <w:sz w:val="22"/>
          <w:szCs w:val="22"/>
        </w:rPr>
        <w:t xml:space="preserve">(nappes fluvio-glaciaires et nappes de la molasse en profondeur)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numPr>
          <w:ilvl w:val="0"/>
          <w:numId w:val="15"/>
        </w:numPr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Ouest Lyonnais : roche</w:t>
      </w:r>
      <w:r>
        <w:rPr>
          <w:rFonts w:ascii="Calibri" w:hAnsi="Calibri" w:cs="Calibri"/>
          <w:sz w:val="22"/>
          <w:szCs w:val="22"/>
        </w:rPr>
        <w:t xml:space="preserve"> métamorphique </w:t>
      </w:r>
      <w:r>
        <w:rPr>
          <w:rFonts w:ascii="Calibri" w:hAnsi="Calibri" w:cs="Calibri"/>
          <w:sz w:val="22"/>
          <w:szCs w:val="22"/>
        </w:rPr>
        <w:t xml:space="preserve">&gt;</w:t>
      </w:r>
      <w:r>
        <w:rPr>
          <w:rFonts w:ascii="Calibri" w:hAnsi="Calibri" w:cs="Calibri"/>
          <w:sz w:val="22"/>
          <w:szCs w:val="22"/>
        </w:rPr>
        <w:t xml:space="preserve">&gt; circulation d'eau reste ponctuelle &gt;&gt; donc plus envisageable </w:t>
      </w:r>
      <w:r>
        <w:rPr>
          <w:rFonts w:ascii="Calibri" w:hAnsi="Calibri" w:cs="Calibri"/>
          <w:sz w:val="22"/>
          <w:szCs w:val="22"/>
        </w:rPr>
        <w:t xml:space="preserve">en terme stockage de chaleur so</w:t>
      </w:r>
      <w:r>
        <w:rPr>
          <w:rFonts w:ascii="Calibri" w:hAnsi="Calibri" w:cs="Calibri"/>
          <w:sz w:val="22"/>
          <w:szCs w:val="22"/>
        </w:rPr>
        <w:t xml:space="preserve">u</w:t>
      </w:r>
      <w:r>
        <w:rPr>
          <w:rFonts w:ascii="Calibri" w:hAnsi="Calibri" w:cs="Calibri"/>
          <w:sz w:val="22"/>
          <w:szCs w:val="22"/>
        </w:rPr>
        <w:t xml:space="preserve">s</w:t>
      </w:r>
      <w:r>
        <w:rPr>
          <w:rFonts w:ascii="Calibri" w:hAnsi="Calibri" w:cs="Calibri"/>
          <w:sz w:val="22"/>
          <w:szCs w:val="22"/>
        </w:rPr>
        <w:t xml:space="preserve">-sol - bonne propriété thermique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</w:r>
      <w:r>
        <w:rPr>
          <w:rFonts w:ascii="Calibri" w:hAnsi="Calibri" w:cs="Calibri"/>
          <w:b/>
          <w:sz w:val="22"/>
          <w:szCs w:val="22"/>
        </w:rPr>
      </w:r>
      <w:r>
        <w:rPr>
          <w:rFonts w:ascii="Calibri" w:hAnsi="Calibri" w:cs="Calibri"/>
          <w:b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Remarque</w:t>
      </w:r>
      <w:r>
        <w:rPr>
          <w:rFonts w:ascii="Calibri" w:hAnsi="Calibri" w:cs="Calibri"/>
          <w:sz w:val="22"/>
          <w:szCs w:val="22"/>
        </w:rPr>
        <w:t xml:space="preserve"> : passage d’une conductivité thermique de 2 à 35 W/</w:t>
      </w:r>
      <w:r>
        <w:rPr>
          <w:rFonts w:ascii="Calibri" w:hAnsi="Calibri" w:cs="Calibri"/>
          <w:sz w:val="22"/>
          <w:szCs w:val="22"/>
        </w:rPr>
        <w:t xml:space="preserve">K.</w:t>
      </w:r>
      <w:r>
        <w:rPr>
          <w:rFonts w:ascii="Calibri" w:hAnsi="Calibri" w:cs="Calibri"/>
          <w:sz w:val="22"/>
          <w:szCs w:val="22"/>
        </w:rPr>
        <w:t xml:space="preserve">m</w:t>
      </w:r>
      <w:r>
        <w:rPr>
          <w:rFonts w:ascii="Calibri" w:hAnsi="Calibri" w:cs="Calibri"/>
          <w:sz w:val="22"/>
          <w:szCs w:val="22"/>
        </w:rPr>
        <w:t xml:space="preserve">  -</w:t>
      </w:r>
      <w:r>
        <w:rPr>
          <w:rFonts w:ascii="Calibri" w:hAnsi="Calibri" w:cs="Calibri"/>
          <w:sz w:val="22"/>
          <w:szCs w:val="22"/>
        </w:rPr>
        <w:t xml:space="preserve"> baisse de 20 % de la longueur de sondes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numPr>
          <w:ilvl w:val="0"/>
          <w:numId w:val="15"/>
        </w:numPr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Cadre réglementaire s</w:t>
      </w:r>
      <w:r>
        <w:rPr>
          <w:rFonts w:ascii="Calibri" w:hAnsi="Calibri" w:cs="Calibri"/>
          <w:sz w:val="22"/>
          <w:szCs w:val="22"/>
        </w:rPr>
        <w:t xml:space="preserve">implifié (GMI)</w:t>
      </w:r>
      <w:r>
        <w:rPr>
          <w:rFonts w:ascii="Calibri" w:hAnsi="Calibri" w:cs="Calibri"/>
          <w:sz w:val="22"/>
          <w:szCs w:val="22"/>
        </w:rPr>
        <w:t xml:space="preserve"> pour des températures entre -3/+40°C (entrée/sortie d’échangeur) – au-delà permis d’exploitation de gîtes géothermiques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60453" cy="2743553"/>
                <wp:effectExtent l="0" t="0" r="1905" b="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772366" cy="27553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217.36pt;height:216.03pt;mso-wrap-distance-left:0.00pt;mso-wrap-distance-top:0.00pt;mso-wrap-distance-right:0.00pt;mso-wrap-distance-bottom:0.00pt;z-index:1;" stroked="false">
                <v:imagedata r:id="rId14" o:title=""/>
                <o:lock v:ext="edit" rotation="t"/>
              </v:shape>
            </w:pict>
          </mc:Fallback>
        </mc:AlternateContent>
      </w:r>
      <w:r>
        <w:rPr>
          <w:rFonts w:ascii="Calibri" w:hAnsi="Calibri" w:cs="Calibri"/>
          <w:sz w:val="22"/>
          <w:szCs w:val="22"/>
        </w:rPr>
        <w:t xml:space="preserve">       </w:t>
      </w:r>
      <w:r>
        <w:rPr>
          <w:rFonts w:ascii="Calibri" w:hAnsi="Calibri" w:cs="Calibri"/>
          <w:sz w:val="22"/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48309" cy="2774420"/>
                <wp:effectExtent l="0" t="0" r="0" b="6985"/>
                <wp:docPr id="6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668549" cy="2795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208.53pt;height:218.46pt;mso-wrap-distance-left:0.00pt;mso-wrap-distance-top:0.00pt;mso-wrap-distance-right:0.00pt;mso-wrap-distance-bottom:0.00pt;z-index:1;" stroked="false">
                <v:imagedata r:id="rId15" o:title=""/>
                <o:lock v:ext="edit" rotation="t"/>
              </v:shape>
            </w:pict>
          </mc:Fallback>
        </mc:AlternateConten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Bdr/>
        <w:spacing/>
        <w:ind/>
        <w:jc w:val="both"/>
        <w:rPr/>
      </w:pPr>
      <w:r>
        <w:t xml:space="preserve">La carte géologique donne la géologie sous les premiers mètres de sol (viser le r</w:t>
      </w:r>
      <w:r>
        <w:t xml:space="preserve">ouge/rose sur la carte –roche) ci-dessus.</w:t>
      </w:r>
      <w:r/>
    </w:p>
    <w:p>
      <w:pPr>
        <w:pBdr/>
        <w:spacing/>
        <w:ind/>
        <w:jc w:val="both"/>
        <w:rPr/>
      </w:pPr>
      <w:r>
        <w:t xml:space="preserve">La carte GMI (voir la présentation) permet de vérifier le régime réglementaire de la zone (pas de zone rouge sur la Métropole de Lyon) mais quelques zones orange (</w:t>
      </w:r>
      <w:r>
        <w:t xml:space="preserve">artésianisme</w:t>
      </w:r>
      <w:r>
        <w:t xml:space="preserve"> -&gt; remontée d’eau, gypse -&gt; univers salés, cavités, mouvements de terrains – balmes, </w:t>
      </w:r>
      <w:r>
        <w:t xml:space="preserve">…).</w:t>
      </w:r>
      <w:r/>
    </w:p>
    <w:p>
      <w:pPr>
        <w:pBdr/>
        <w:spacing/>
        <w:ind/>
        <w:jc w:val="both"/>
        <w:rPr/>
      </w:pPr>
      <w:r>
        <w:t xml:space="preserve">Les sondes doivent être à 5 m de la limite de propriété (on considère ainsi que les 10 m seront respectés alors).</w:t>
      </w:r>
      <w:r>
        <w:t xml:space="preserve"> Les sondes sont cimentées depuis le fonds, tubage enlevé lors de la cimentation.</w:t>
      </w:r>
      <w:r/>
    </w:p>
    <w:p>
      <w:pPr>
        <w:pStyle w:val="994"/>
        <w:pBdr/>
        <w:spacing w:after="0" w:afterAutospacing="0" w:before="0" w:beforeAutospacing="0"/>
        <w:ind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=&gt; Viser l’i</w:t>
      </w:r>
      <w:r>
        <w:rPr>
          <w:rFonts w:ascii="Calibri" w:hAnsi="Calibri" w:cs="Calibri"/>
          <w:b/>
          <w:sz w:val="22"/>
          <w:szCs w:val="22"/>
        </w:rPr>
        <w:t xml:space="preserve">dentification d’un sit</w:t>
      </w:r>
      <w:r>
        <w:rPr>
          <w:rFonts w:ascii="Calibri" w:hAnsi="Calibri" w:cs="Calibri"/>
          <w:b/>
          <w:sz w:val="22"/>
          <w:szCs w:val="22"/>
        </w:rPr>
        <w:t xml:space="preserve">e potentiel sur l’ouest lyonnais</w:t>
      </w:r>
      <w:r>
        <w:rPr>
          <w:rFonts w:ascii="Calibri" w:hAnsi="Calibri" w:cs="Calibri"/>
          <w:b/>
          <w:sz w:val="22"/>
          <w:szCs w:val="22"/>
        </w:rPr>
      </w:r>
      <w:r>
        <w:rPr>
          <w:rFonts w:ascii="Calibri" w:hAnsi="Calibri" w:cs="Calibri"/>
          <w:b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/>
        <w:jc w:val="both"/>
        <w:rPr>
          <w:rFonts w:eastAsiaTheme="majorEastAsia" w:cstheme="majorBidi"/>
          <w:b/>
          <w:color w:val="011970"/>
          <w:sz w:val="44"/>
          <w:szCs w:val="32"/>
        </w:rPr>
      </w:pPr>
      <w:r>
        <w:rPr>
          <w:rFonts w:ascii="Calibri" w:hAnsi="Calibri" w:cs="Calibri"/>
          <w:sz w:val="22"/>
          <w:szCs w:val="22"/>
        </w:rPr>
        <w:t xml:space="preserve">Exemple d’intérêt - surdimensionner le solaire pour gagner en taux couverture le reste année et bénéficier d’un surplus énergétique stocké dans les sondes ainsi l’énergie sout</w:t>
      </w:r>
      <w:r>
        <w:rPr>
          <w:rFonts w:ascii="Calibri" w:hAnsi="Calibri" w:cs="Calibri"/>
          <w:sz w:val="22"/>
          <w:szCs w:val="22"/>
        </w:rPr>
        <w:t xml:space="preserve">irée par mètre linéaire de sondes =&gt;</w:t>
      </w:r>
      <w:r>
        <w:rPr>
          <w:rFonts w:ascii="Calibri" w:hAnsi="Calibri" w:cs="Calibri"/>
          <w:sz w:val="22"/>
          <w:szCs w:val="22"/>
        </w:rPr>
        <w:t xml:space="preserve"> bon rendement </w:t>
      </w:r>
      <w:r>
        <w:br w:type="page" w:clear="all"/>
      </w:r>
      <w:r>
        <w:rPr>
          <w:rFonts w:eastAsiaTheme="majorEastAsia" w:cstheme="majorBidi"/>
          <w:b/>
          <w:color w:val="011970"/>
          <w:sz w:val="44"/>
          <w:szCs w:val="32"/>
        </w:rPr>
      </w:r>
      <w:r>
        <w:rPr>
          <w:rFonts w:eastAsiaTheme="majorEastAsia" w:cstheme="majorBidi"/>
          <w:b/>
          <w:color w:val="011970"/>
          <w:sz w:val="44"/>
          <w:szCs w:val="32"/>
        </w:rPr>
      </w:r>
    </w:p>
    <w:p>
      <w:pPr>
        <w:pStyle w:val="981"/>
        <w:pBdr/>
        <w:spacing w:before="0" w:line="240" w:lineRule="auto"/>
        <w:ind/>
        <w:rPr/>
      </w:pPr>
      <w:r>
        <w:t xml:space="preserve">Ajout</w:t>
      </w:r>
      <w:r>
        <w:t xml:space="preserve"> spécifique sur le stockage d’énergie</w:t>
      </w:r>
      <w:r>
        <w:t xml:space="preserve"> : retour suite à l’échange post GT avec Hervé </w:t>
      </w:r>
      <w:r>
        <w:t xml:space="preserve">Lautrette</w:t>
      </w:r>
      <w:r>
        <w:t xml:space="preserve"> </w:t>
      </w:r>
      <w:r>
        <w:t xml:space="preserve">d’ABSOLAR</w:t>
      </w:r>
      <w:r>
        <w:t xml:space="preserve">– prescripteur et offreur de solution de </w:t>
      </w:r>
      <w:r/>
    </w:p>
    <w:p>
      <w:pPr>
        <w:pStyle w:val="996"/>
        <w:pBdr/>
        <w:spacing/>
        <w:ind/>
        <w:rPr/>
      </w:pPr>
      <w:r/>
      <w:r/>
    </w:p>
    <w:p>
      <w:pPr>
        <w:pBdr/>
        <w:spacing/>
        <w:ind/>
        <w:jc w:val="both"/>
        <w:rPr>
          <w:lang w:eastAsia="fr-FR"/>
        </w:rPr>
      </w:pPr>
      <w:r>
        <w:t xml:space="preserve">Suite au GT, nous avons échangé avec Hervé </w:t>
      </w:r>
      <w:r>
        <w:t xml:space="preserve">Lautrette, géré d’ABSOLAR et</w:t>
      </w:r>
      <w:r>
        <w:t xml:space="preserve"> membre du pôle de compétitivité AVENIA spécialisé dans le sous-sol. </w:t>
      </w:r>
      <w:r>
        <w:rPr>
          <w:lang w:eastAsia="fr-FR"/>
        </w:rPr>
        <w:t xml:space="preserve">ABSOLAR développe des solutions de Stockage d’Energie Souterrain HT couplées à des </w:t>
      </w:r>
      <w:r>
        <w:rPr>
          <w:lang w:eastAsia="fr-FR"/>
        </w:rPr>
        <w:t xml:space="preserve">EnR&amp;R</w:t>
      </w:r>
      <w:r>
        <w:rPr>
          <w:lang w:eastAsia="fr-FR"/>
        </w:rPr>
        <w:t xml:space="preserve"> pour la </w:t>
      </w:r>
      <w:r>
        <w:rPr>
          <w:lang w:eastAsia="fr-FR"/>
        </w:rPr>
        <w:t xml:space="preserve">décarbonat</w:t>
      </w:r>
      <w:r>
        <w:rPr>
          <w:lang w:eastAsia="fr-FR"/>
        </w:rPr>
        <w:t xml:space="preserve">ion</w:t>
      </w:r>
      <w:r>
        <w:rPr>
          <w:lang w:eastAsia="fr-FR"/>
        </w:rPr>
        <w:t xml:space="preserve"> des productions de chaleur.</w:t>
      </w:r>
      <w:r>
        <w:rPr>
          <w:lang w:eastAsia="fr-FR"/>
        </w:rPr>
      </w:r>
      <w:r>
        <w:rPr>
          <w:lang w:eastAsia="fr-FR"/>
        </w:rPr>
      </w:r>
    </w:p>
    <w:p>
      <w:pPr>
        <w:pBdr/>
        <w:spacing/>
        <w:ind/>
        <w:jc w:val="both"/>
        <w:rPr/>
      </w:pPr>
      <w:r>
        <w:rPr>
          <w:lang w:eastAsia="fr-FR"/>
        </w:rPr>
        <w:t xml:space="preserve">ABSOLAR a réalisé un démonstrateur sur </w:t>
      </w:r>
      <w:r>
        <w:rPr>
          <w:lang w:eastAsia="fr-FR"/>
        </w:rPr>
        <w:t xml:space="preserve">Cadaujac</w:t>
      </w:r>
      <w:r>
        <w:rPr>
          <w:lang w:eastAsia="fr-FR"/>
        </w:rPr>
        <w:t xml:space="preserve"> dans la Gironde sur l’</w:t>
      </w:r>
      <w:r>
        <w:rPr>
          <w:lang w:eastAsia="fr-FR"/>
        </w:rPr>
        <w:t xml:space="preserve">écoquartier</w:t>
      </w:r>
      <w:r>
        <w:rPr>
          <w:lang w:eastAsia="fr-FR"/>
        </w:rPr>
        <w:t xml:space="preserve"> « Domaine du Moulin » - 67 logements – 4 521 m² sur le stockage d’énergie solaire thermique</w:t>
      </w:r>
      <w:r>
        <w:rPr>
          <w:lang w:eastAsia="fr-FR"/>
        </w:rPr>
        <w:t xml:space="preserve"> avec un champs sondes géothermiques verticales haute température &gt; 25 à 90 °C.</w:t>
      </w:r>
      <w:r/>
    </w:p>
    <w:p>
      <w:pPr>
        <w:pBdr/>
        <w:spacing w:after="0" w:line="240" w:lineRule="auto"/>
        <w:ind/>
        <w:rPr>
          <w:lang w:eastAsia="fr-FR"/>
        </w:rPr>
      </w:pPr>
      <w:r>
        <w:rPr>
          <w:lang w:eastAsia="fr-FR"/>
        </w:rPr>
        <w:t xml:space="preserve">ABSOLAR déploie aujourd’hui 2 types de solutions</w:t>
      </w:r>
      <w:r>
        <w:rPr>
          <w:lang w:eastAsia="fr-FR"/>
        </w:rPr>
        <w:t xml:space="preserve"> de stockage d’énergie (</w:t>
      </w:r>
      <w:r>
        <w:rPr>
          <w:lang w:eastAsia="fr-FR"/>
        </w:rPr>
        <w:t xml:space="preserve">haute</w:t>
      </w:r>
      <w:r>
        <w:rPr>
          <w:lang w:eastAsia="fr-FR"/>
        </w:rPr>
        <w:t xml:space="preserve"> </w:t>
      </w:r>
      <w:r>
        <w:rPr>
          <w:lang w:eastAsia="fr-FR"/>
        </w:rPr>
        <w:t xml:space="preserve">température</w:t>
      </w:r>
      <w:r>
        <w:rPr>
          <w:lang w:eastAsia="fr-FR"/>
        </w:rPr>
        <w:t xml:space="preserve">)</w:t>
      </w:r>
      <w:r>
        <w:rPr>
          <w:lang w:eastAsia="fr-FR"/>
        </w:rPr>
        <w:t xml:space="preserve"> : </w:t>
      </w:r>
      <w:r>
        <w:rPr>
          <w:lang w:eastAsia="fr-FR"/>
        </w:rPr>
      </w:r>
      <w:r>
        <w:rPr>
          <w:lang w:eastAsia="fr-FR"/>
        </w:rPr>
      </w:r>
    </w:p>
    <w:p>
      <w:pPr>
        <w:pBdr/>
        <w:spacing w:after="0" w:line="240" w:lineRule="auto"/>
        <w:ind/>
        <w:rPr>
          <w:lang w:eastAsia="fr-FR"/>
        </w:rPr>
      </w:pPr>
      <w:r>
        <w:rPr>
          <w:lang w:eastAsia="fr-FR"/>
        </w:rPr>
      </w:r>
      <w:r>
        <w:rPr>
          <w:lang w:eastAsia="fr-FR"/>
        </w:rPr>
      </w:r>
      <w:r>
        <w:rPr>
          <w:lang w:eastAsia="fr-FR"/>
        </w:rPr>
      </w:r>
    </w:p>
    <w:p>
      <w:pPr>
        <w:pStyle w:val="993"/>
        <w:numPr>
          <w:ilvl w:val="0"/>
          <w:numId w:val="29"/>
        </w:numPr>
        <w:pBdr/>
        <w:spacing w:after="0" w:line="240" w:lineRule="auto"/>
        <w:ind/>
        <w:rPr>
          <w:lang w:eastAsia="fr-FR"/>
        </w:rPr>
      </w:pPr>
      <w:r>
        <w:rPr>
          <w:lang w:eastAsia="fr-FR"/>
        </w:rPr>
        <w:t xml:space="preserve">La  « C2SES – Centrale Solaire sur Stockage d’Energie Souterrain » – Valorisation de l’Energie Renouvelable intermittente produite par des centrales solaires thermiques.</w:t>
      </w:r>
      <w:r>
        <w:rPr>
          <w:lang w:eastAsia="fr-FR"/>
        </w:rPr>
      </w:r>
      <w:r>
        <w:rPr>
          <w:lang w:eastAsia="fr-FR"/>
        </w:rPr>
      </w:r>
    </w:p>
    <w:p>
      <w:pPr>
        <w:pStyle w:val="993"/>
        <w:pBdr/>
        <w:spacing w:after="0" w:line="240" w:lineRule="auto"/>
        <w:ind/>
        <w:rPr>
          <w:lang w:eastAsia="fr-FR"/>
        </w:rPr>
      </w:pPr>
      <w:r>
        <w:rPr>
          <w:lang w:eastAsia="fr-FR"/>
        </w:rPr>
      </w:r>
      <w:r>
        <w:rPr>
          <w:lang w:eastAsia="fr-FR"/>
        </w:rPr>
      </w:r>
      <w:r>
        <w:rPr>
          <w:lang w:eastAsia="fr-FR"/>
        </w:rPr>
      </w:r>
    </w:p>
    <w:p>
      <w:pPr>
        <w:pBdr/>
        <w:spacing w:after="0" w:line="240" w:lineRule="auto"/>
        <w:ind/>
        <w:jc w:val="center"/>
        <w:rPr>
          <w:lang w:eastAsia="fr-FR"/>
        </w:rPr>
      </w:pPr>
      <w:r>
        <w:rPr>
          <w:lang w:eastAsia="fr-FR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55042" cy="2194521"/>
                <wp:effectExtent l="0" t="0" r="3175" b="0"/>
                <wp:docPr id="7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rcRect l="0" t="0" r="331" b="11959"/>
                        <a:stretch/>
                      </pic:blipFill>
                      <pic:spPr bwMode="auto">
                        <a:xfrm>
                          <a:off x="0" y="0"/>
                          <a:ext cx="4476810" cy="22052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350.79pt;height:172.80pt;mso-wrap-distance-left:0.00pt;mso-wrap-distance-top:0.00pt;mso-wrap-distance-right:0.00pt;mso-wrap-distance-bottom:0.00pt;z-index:1;" stroked="f">
                <v:imagedata r:id="rId16" o:title=""/>
                <o:lock v:ext="edit" rotation="t"/>
              </v:shape>
            </w:pict>
          </mc:Fallback>
        </mc:AlternateContent>
      </w:r>
      <w:r>
        <w:rPr>
          <w:lang w:eastAsia="fr-FR"/>
        </w:rPr>
      </w:r>
      <w:r>
        <w:rPr>
          <w:lang w:eastAsia="fr-FR"/>
        </w:rPr>
      </w:r>
    </w:p>
    <w:p>
      <w:pPr>
        <w:pBdr/>
        <w:spacing w:after="0" w:line="240" w:lineRule="auto"/>
        <w:ind/>
        <w:rPr>
          <w:lang w:eastAsia="fr-FR"/>
        </w:rPr>
      </w:pPr>
      <w:r>
        <w:rPr>
          <w:lang w:eastAsia="fr-FR"/>
        </w:rPr>
      </w:r>
      <w:r>
        <w:rPr>
          <w:lang w:eastAsia="fr-FR"/>
        </w:rPr>
      </w:r>
      <w:r>
        <w:rPr>
          <w:lang w:eastAsia="fr-FR"/>
        </w:rPr>
      </w:r>
    </w:p>
    <w:p>
      <w:pPr>
        <w:pStyle w:val="993"/>
        <w:numPr>
          <w:ilvl w:val="0"/>
          <w:numId w:val="29"/>
        </w:numPr>
        <w:pBdr/>
        <w:spacing w:after="0" w:line="240" w:lineRule="auto"/>
        <w:ind/>
        <w:rPr>
          <w:lang w:eastAsia="fr-FR"/>
        </w:rPr>
      </w:pPr>
      <w:r>
        <w:rPr>
          <w:lang w:eastAsia="fr-FR"/>
        </w:rPr>
        <w:t xml:space="preserve">Le « SESEF – Stockage d’Energie Souterrain sur Energie Fatale » – Valorisation de l’Energie de Récupération rejetée par les </w:t>
      </w:r>
      <w:r>
        <w:rPr>
          <w:lang w:eastAsia="fr-FR"/>
        </w:rPr>
        <w:t xml:space="preserve">process</w:t>
      </w:r>
      <w:r>
        <w:rPr>
          <w:lang w:eastAsia="fr-FR"/>
        </w:rPr>
        <w:t xml:space="preserve"> industriels.</w:t>
      </w:r>
      <w:r>
        <w:rPr>
          <w:lang w:eastAsia="fr-FR"/>
        </w:rPr>
      </w:r>
      <w:r>
        <w:rPr>
          <w:lang w:eastAsia="fr-FR"/>
        </w:rPr>
      </w:r>
    </w:p>
    <w:p>
      <w:pPr>
        <w:pBdr/>
        <w:spacing w:after="0" w:line="240" w:lineRule="auto"/>
        <w:ind/>
        <w:rPr>
          <w:lang w:eastAsia="fr-FR"/>
        </w:rPr>
      </w:pPr>
      <w:r>
        <w:rPr>
          <w:lang w:eastAsia="fr-FR"/>
        </w:rPr>
      </w:r>
      <w:r>
        <w:rPr>
          <w:lang w:eastAsia="fr-FR"/>
        </w:rPr>
      </w:r>
      <w:r>
        <w:rPr>
          <w:lang w:eastAsia="fr-FR"/>
        </w:rPr>
      </w:r>
    </w:p>
    <w:p>
      <w:pPr>
        <w:pBdr/>
        <w:spacing w:after="0" w:line="240" w:lineRule="auto"/>
        <w:ind/>
        <w:jc w:val="center"/>
        <w:rPr>
          <w:lang w:eastAsia="fr-FR"/>
        </w:rPr>
      </w:pPr>
      <w:r>
        <w:rPr>
          <w:lang w:eastAsia="fr-FR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12242" cy="2469842"/>
                <wp:effectExtent l="0" t="0" r="3175" b="6985"/>
                <wp:docPr id="8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rcRect l="0" t="0" r="885" b="10706"/>
                        <a:stretch/>
                      </pic:blipFill>
                      <pic:spPr bwMode="auto">
                        <a:xfrm>
                          <a:off x="0" y="0"/>
                          <a:ext cx="4927566" cy="24775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width:386.79pt;height:194.48pt;mso-wrap-distance-left:0.00pt;mso-wrap-distance-top:0.00pt;mso-wrap-distance-right:0.00pt;mso-wrap-distance-bottom:0.00pt;z-index:1;" stroked="f">
                <v:imagedata r:id="rId17" o:title=""/>
                <o:lock v:ext="edit" rotation="t"/>
              </v:shape>
            </w:pict>
          </mc:Fallback>
        </mc:AlternateContent>
      </w:r>
      <w:r>
        <w:rPr>
          <w:lang w:eastAsia="fr-FR"/>
        </w:rPr>
      </w:r>
      <w:r>
        <w:rPr>
          <w:lang w:eastAsia="fr-FR"/>
        </w:rPr>
      </w:r>
    </w:p>
    <w:p>
      <w:pPr>
        <w:pBdr/>
        <w:spacing w:after="0" w:line="240" w:lineRule="auto"/>
        <w:ind/>
        <w:rPr>
          <w:lang w:eastAsia="fr-FR"/>
        </w:rPr>
      </w:pPr>
      <w:r>
        <w:rPr>
          <w:lang w:eastAsia="fr-FR"/>
        </w:rPr>
      </w:r>
      <w:r>
        <w:rPr>
          <w:lang w:eastAsia="fr-FR"/>
        </w:rPr>
      </w:r>
      <w:r>
        <w:rPr>
          <w:lang w:eastAsia="fr-FR"/>
        </w:rPr>
      </w:r>
    </w:p>
    <w:p>
      <w:pPr>
        <w:pBdr/>
        <w:spacing w:after="0" w:line="240" w:lineRule="auto"/>
        <w:ind/>
        <w:rPr>
          <w:lang w:eastAsia="fr-FR"/>
        </w:rPr>
      </w:pPr>
      <w:r>
        <w:rPr>
          <w:lang w:eastAsia="fr-FR"/>
        </w:rPr>
        <w:t xml:space="preserve">Les </w:t>
      </w:r>
      <w:r>
        <w:rPr>
          <w:lang w:eastAsia="fr-FR"/>
        </w:rPr>
        <w:t xml:space="preserve">batteries souterraines sont constituées d’échangeurs géothermiques sur boucles fermées.</w:t>
      </w:r>
      <w:r>
        <w:rPr>
          <w:lang w:eastAsia="fr-FR"/>
        </w:rPr>
      </w:r>
      <w:r>
        <w:rPr>
          <w:lang w:eastAsia="fr-FR"/>
        </w:rPr>
      </w:r>
    </w:p>
    <w:p>
      <w:pPr>
        <w:pBdr/>
        <w:spacing w:after="0" w:line="240" w:lineRule="auto"/>
        <w:ind/>
        <w:rPr>
          <w:lang w:eastAsia="fr-FR"/>
        </w:rPr>
      </w:pPr>
      <w:r>
        <w:rPr>
          <w:lang w:eastAsia="fr-FR"/>
        </w:rPr>
        <w:t xml:space="preserve">Ces échangeurs transfèrent la chaleur </w:t>
      </w:r>
      <w:r>
        <w:rPr>
          <w:lang w:eastAsia="fr-FR"/>
        </w:rPr>
        <w:t xml:space="preserve">au sous-sol sur le principe de s</w:t>
      </w:r>
      <w:r>
        <w:rPr>
          <w:lang w:eastAsia="fr-FR"/>
        </w:rPr>
        <w:t xml:space="preserve">ond</w:t>
      </w:r>
      <w:r>
        <w:rPr>
          <w:lang w:eastAsia="fr-FR"/>
        </w:rPr>
        <w:t xml:space="preserve">es g</w:t>
      </w:r>
      <w:r>
        <w:rPr>
          <w:lang w:eastAsia="fr-FR"/>
        </w:rPr>
        <w:t xml:space="preserve">éothermiques mais avec quelques</w:t>
      </w:r>
      <w:r>
        <w:rPr>
          <w:lang w:eastAsia="fr-FR"/>
        </w:rPr>
        <w:t xml:space="preserve"> spécificités techniques.</w:t>
      </w:r>
      <w:r>
        <w:rPr>
          <w:lang w:eastAsia="fr-FR"/>
        </w:rPr>
      </w:r>
      <w:r>
        <w:rPr>
          <w:lang w:eastAsia="fr-FR"/>
        </w:rPr>
      </w:r>
    </w:p>
    <w:p>
      <w:pPr>
        <w:pBdr/>
        <w:spacing w:after="0" w:line="240" w:lineRule="auto"/>
        <w:ind/>
        <w:rPr>
          <w:lang w:eastAsia="fr-FR"/>
        </w:rPr>
      </w:pPr>
      <w:r>
        <w:rPr>
          <w:lang w:eastAsia="fr-FR"/>
        </w:rPr>
      </w:r>
      <w:r>
        <w:rPr>
          <w:lang w:eastAsia="fr-FR"/>
        </w:rPr>
      </w:r>
      <w:r>
        <w:rPr>
          <w:lang w:eastAsia="fr-FR"/>
        </w:rPr>
      </w:r>
    </w:p>
    <w:p>
      <w:pPr>
        <w:pBdr/>
        <w:spacing w:after="0" w:line="240" w:lineRule="auto"/>
        <w:ind/>
        <w:jc w:val="both"/>
        <w:rPr>
          <w:lang w:eastAsia="fr-FR"/>
        </w:rPr>
      </w:pPr>
      <w:r>
        <w:rPr>
          <w:lang w:eastAsia="fr-FR"/>
        </w:rPr>
        <w:t xml:space="preserve">Les</w:t>
      </w:r>
      <w:r>
        <w:rPr>
          <w:lang w:eastAsia="fr-FR"/>
        </w:rPr>
        <w:t xml:space="preserve"> solutions permettent de valoriser de grandes quantités d’</w:t>
      </w:r>
      <w:r>
        <w:rPr>
          <w:lang w:eastAsia="fr-FR"/>
        </w:rPr>
        <w:t xml:space="preserve">EnR&amp;R</w:t>
      </w:r>
      <w:r>
        <w:rPr>
          <w:lang w:eastAsia="fr-FR"/>
        </w:rPr>
        <w:t xml:space="preserve"> (&gt;10 </w:t>
      </w:r>
      <w:r>
        <w:rPr>
          <w:lang w:eastAsia="fr-FR"/>
        </w:rPr>
        <w:t xml:space="preserve">GWh</w:t>
      </w:r>
      <w:r>
        <w:rPr>
          <w:lang w:eastAsia="fr-FR"/>
        </w:rPr>
        <w:t xml:space="preserve">/An), à de hautes températures d’injection (&gt;100°C) sur des plages de profondeurs de 30 m à plus de 1000m.</w:t>
      </w:r>
      <w:r>
        <w:rPr>
          <w:lang w:eastAsia="fr-FR"/>
        </w:rPr>
        <w:t xml:space="preserve"> Avec ces niveaux de température, il est nécessaire d’avoir une autorisation qui nécessite d’anticiper (12 mois d’instruction).</w:t>
      </w:r>
      <w:r>
        <w:rPr>
          <w:lang w:eastAsia="fr-FR"/>
        </w:rPr>
      </w:r>
      <w:r>
        <w:rPr>
          <w:lang w:eastAsia="fr-FR"/>
        </w:rPr>
      </w:r>
    </w:p>
    <w:p>
      <w:pPr>
        <w:pBdr/>
        <w:spacing w:after="0" w:line="240" w:lineRule="auto"/>
        <w:ind/>
        <w:rPr>
          <w:lang w:eastAsia="fr-FR"/>
        </w:rPr>
      </w:pPr>
      <w:r>
        <w:rPr>
          <w:lang w:eastAsia="fr-FR"/>
        </w:rPr>
      </w:r>
      <w:r>
        <w:rPr>
          <w:lang w:eastAsia="fr-FR"/>
        </w:rPr>
      </w:r>
      <w:r>
        <w:rPr>
          <w:lang w:eastAsia="fr-FR"/>
        </w:rPr>
      </w:r>
    </w:p>
    <w:p>
      <w:pPr>
        <w:pBdr/>
        <w:spacing w:after="0" w:line="240" w:lineRule="auto"/>
        <w:ind/>
        <w:jc w:val="both"/>
        <w:rPr>
          <w:highlight w:val="none"/>
          <w:lang w:eastAsia="fr-FR"/>
        </w:rPr>
      </w:pPr>
      <w:r>
        <w:rPr>
          <w:lang w:eastAsia="fr-FR"/>
        </w:rPr>
        <w:t xml:space="preserve">Ce type de solution « SESEF »</w:t>
      </w:r>
      <w:r>
        <w:rPr>
          <w:lang w:eastAsia="fr-FR"/>
        </w:rPr>
        <w:t xml:space="preserve"> est particulièrement adaptée à la valorisation de la chaleur fatale rejetée dans l’atmosphère par des </w:t>
      </w:r>
      <w:r>
        <w:rPr>
          <w:lang w:eastAsia="fr-FR"/>
        </w:rPr>
        <w:t xml:space="preserve">process</w:t>
      </w:r>
      <w:r>
        <w:rPr>
          <w:lang w:eastAsia="fr-FR"/>
        </w:rPr>
        <w:t xml:space="preserve"> industriels (UVE entre autres).</w:t>
      </w:r>
      <w:r>
        <w:rPr>
          <w:lang w:eastAsia="fr-FR"/>
        </w:rPr>
      </w:r>
      <w:r>
        <w:rPr>
          <w:highlight w:val="none"/>
          <w:lang w:eastAsia="fr-FR"/>
        </w:rPr>
      </w:r>
    </w:p>
    <w:p>
      <w:pPr>
        <w:pBdr/>
        <w:spacing w:after="0" w:line="240" w:lineRule="auto"/>
        <w:ind/>
        <w:jc w:val="both"/>
        <w:rPr>
          <w:lang w:eastAsia="fr-FR"/>
        </w:rPr>
      </w:pPr>
      <w:r>
        <w:rPr>
          <w:lang w:eastAsia="fr-FR"/>
        </w:rPr>
      </w:r>
      <w:r>
        <w:rPr>
          <w:lang w:eastAsia="fr-FR"/>
        </w:rPr>
      </w:r>
    </w:p>
    <w:p>
      <w:pPr>
        <w:pBdr/>
        <w:spacing w:after="0" w:line="240" w:lineRule="auto"/>
        <w:ind/>
        <w:jc w:val="both"/>
        <w:rPr>
          <w:lang w:eastAsia="fr-FR"/>
        </w:rPr>
      </w:pPr>
      <w:r>
        <w:rPr>
          <w:highlight w:val="none"/>
          <w:lang w:eastAsia="fr-FR"/>
        </w:rPr>
        <w:t xml:space="preserve">Il sera pertinent de compter sur ABSOLAR sur son expertise.</w:t>
      </w:r>
      <w:r>
        <w:rPr>
          <w:highlight w:val="none"/>
          <w:lang w:eastAsia="fr-FR"/>
        </w:rPr>
      </w:r>
      <w:r/>
      <w:r/>
      <w:r>
        <w:rPr>
          <w:lang w:eastAsia="fr-FR"/>
        </w:rPr>
      </w:r>
    </w:p>
    <w:p>
      <w:pPr>
        <w:pStyle w:val="981"/>
        <w:pBdr/>
        <w:spacing w:before="0" w:line="240" w:lineRule="auto"/>
        <w:ind/>
        <w:rPr/>
      </w:pPr>
      <w:r/>
      <w:r/>
    </w:p>
    <w:p>
      <w:pPr>
        <w:pStyle w:val="981"/>
        <w:pBdr/>
        <w:spacing w:before="0" w:line="240" w:lineRule="auto"/>
        <w:ind/>
        <w:rPr/>
      </w:pPr>
      <w:r>
        <w:t xml:space="preserve">Pistes à explorer</w:t>
      </w:r>
      <w:r>
        <w:t xml:space="preserve"> </w:t>
      </w:r>
      <w:r/>
    </w:p>
    <w:p>
      <w:pPr>
        <w:pStyle w:val="994"/>
        <w:pBdr/>
        <w:spacing w:after="0" w:afterAutospacing="0" w:before="0" w:beforeAutospacing="0"/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numPr>
          <w:ilvl w:val="0"/>
          <w:numId w:val="7"/>
        </w:numPr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Identifier un site pilote pour couplage géothermie/solaire thermique : 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cas</w:t>
      </w:r>
      <w:r>
        <w:rPr>
          <w:rFonts w:ascii="Calibri" w:hAnsi="Calibri" w:cs="Calibri"/>
          <w:sz w:val="22"/>
          <w:szCs w:val="22"/>
        </w:rPr>
        <w:t xml:space="preserve"> des hôpitaux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Gros besoin de maitrise des consommations d’énergie + foncier potentiellement disponible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 w:left="720"/>
        <w:rPr>
          <w:rFonts w:ascii="Calibri" w:hAnsi="Calibri" w:cs="Calibri"/>
          <w:sz w:val="22"/>
          <w:szCs w:val="22"/>
          <w:highlight w:val="none"/>
        </w:rPr>
      </w:pPr>
      <w:r>
        <w:rPr>
          <w:rFonts w:ascii="Calibri" w:hAnsi="Calibri" w:cs="Calibri"/>
          <w:sz w:val="22"/>
          <w:szCs w:val="22"/>
        </w:rPr>
        <w:t xml:space="preserve">&gt;&gt; Inventaire des hôpitaux – besoin de connaissance des conditions d’exploitation  </w:t>
      </w:r>
      <w:r>
        <w:rPr>
          <w:rFonts w:ascii="Calibri" w:hAnsi="Calibri" w:cs="Calibri"/>
          <w:sz w:val="22"/>
          <w:szCs w:val="22"/>
          <w:highlight w:val="none"/>
        </w:rPr>
      </w:r>
      <w:r>
        <w:rPr>
          <w:rFonts w:ascii="Calibri" w:hAnsi="Calibri" w:cs="Calibri"/>
          <w:sz w:val="22"/>
          <w:szCs w:val="22"/>
          <w:highlight w:val="none"/>
        </w:rPr>
      </w:r>
    </w:p>
    <w:p>
      <w:pPr>
        <w:pStyle w:val="994"/>
        <w:pBdr/>
        <w:spacing w:after="0" w:afterAutospacing="0" w:before="0" w:beforeAutospacing="0"/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cas</w:t>
      </w:r>
      <w:r>
        <w:rPr>
          <w:rFonts w:ascii="Calibri" w:hAnsi="Calibri" w:cs="Calibri"/>
          <w:sz w:val="22"/>
          <w:szCs w:val="22"/>
        </w:rPr>
        <w:t xml:space="preserve"> des établissements médico-sociaux (EMS)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Gros besoin de maitrise des consommations d’énergie + foncier potentiellement disponible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 w:left="720"/>
        <w:rPr>
          <w:rFonts w:ascii="Calibri" w:hAnsi="Calibri" w:cs="Calibri"/>
          <w:sz w:val="22"/>
          <w:szCs w:val="22"/>
          <w:highlight w:val="none"/>
        </w:rPr>
      </w:pPr>
      <w:r>
        <w:rPr>
          <w:rFonts w:ascii="Calibri" w:hAnsi="Calibri" w:cs="Calibri"/>
          <w:sz w:val="22"/>
          <w:szCs w:val="22"/>
        </w:rPr>
        <w:t xml:space="preserve">&gt;&gt; Inventaire des EMS en lien avec la ML – besoin de connaissance des conditions d’exploitation  </w:t>
      </w:r>
      <w:r>
        <w:rPr>
          <w:rFonts w:ascii="Calibri" w:hAnsi="Calibri" w:cs="Calibri"/>
          <w:sz w:val="22"/>
          <w:szCs w:val="22"/>
          <w:highlight w:val="none"/>
        </w:rPr>
      </w:r>
      <w:r>
        <w:rPr>
          <w:rFonts w:ascii="Calibri" w:hAnsi="Calibri" w:cs="Calibri"/>
          <w:sz w:val="22"/>
          <w:szCs w:val="22"/>
          <w:highlight w:val="none"/>
        </w:rPr>
      </w:r>
    </w:p>
    <w:p>
      <w:pPr>
        <w:pStyle w:val="994"/>
        <w:pBdr/>
        <w:spacing w:after="0" w:afterAutospacing="0" w:before="0" w:beforeAutospacing="0"/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 w:firstLine="0"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cas des piscines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&gt;&gt; Inventaire des piscines avec facture gaz élevée dans l’Ouest Lyonnais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&gt;&gt; Surface disponible pour pose de panneaux solaires 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highlight w:val="none"/>
        </w:rPr>
      </w:r>
      <w:r>
        <w:rPr>
          <w:rFonts w:ascii="Calibri" w:hAnsi="Calibri" w:cs="Calibri"/>
          <w:sz w:val="22"/>
          <w:szCs w:val="22"/>
          <w:highlight w:val="none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  <w:u w:val="single"/>
        </w:rPr>
        <w:t xml:space="preserve">Autres pistes évoquées</w:t>
      </w:r>
      <w:r>
        <w:rPr>
          <w:rFonts w:ascii="Calibri" w:hAnsi="Calibri" w:cs="Calibri"/>
          <w:sz w:val="22"/>
          <w:szCs w:val="22"/>
        </w:rPr>
        <w:t xml:space="preserve"> : ex : VETAGROSUP, ZAC sur l’Ouest Lyonnais</w:t>
      </w:r>
      <w:r>
        <w:rPr>
          <w:rFonts w:ascii="Calibri" w:hAnsi="Calibri" w:cs="Calibri"/>
          <w:sz w:val="22"/>
          <w:szCs w:val="22"/>
        </w:rPr>
        <w:t xml:space="preserve">, les UVE pour du stockage Haute Température (lien avec la Métropole de Lyon), l’industrie pour du stockage Haute Température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  <w:highlight w:val="none"/>
        </w:rPr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  <w:highlight w:val="none"/>
        </w:rPr>
      </w:pPr>
      <w:r>
        <w:rPr>
          <w:rFonts w:ascii="Calibri" w:hAnsi="Calibri" w:cs="Calibri"/>
          <w:b/>
          <w:sz w:val="22"/>
          <w:szCs w:val="22"/>
          <w:u w:val="single"/>
        </w:rPr>
        <w:t xml:space="preserve">Les</w:t>
      </w:r>
      <w:r>
        <w:rPr>
          <w:rFonts w:ascii="Calibri" w:hAnsi="Calibri" w:cs="Calibri"/>
          <w:b/>
          <w:sz w:val="22"/>
          <w:szCs w:val="22"/>
          <w:u w:val="single"/>
        </w:rPr>
        <w:t xml:space="preserve"> critères</w:t>
      </w:r>
      <w:r>
        <w:rPr>
          <w:rFonts w:ascii="Calibri" w:hAnsi="Calibri" w:cs="Calibri"/>
          <w:b/>
          <w:sz w:val="22"/>
          <w:szCs w:val="22"/>
          <w:u w:val="single"/>
        </w:rPr>
        <w:t xml:space="preserve"> à </w:t>
      </w:r>
      <w:r>
        <w:rPr>
          <w:rFonts w:ascii="Calibri" w:hAnsi="Calibri" w:cs="Calibri"/>
          <w:b/>
          <w:sz w:val="22"/>
          <w:szCs w:val="22"/>
          <w:u w:val="single"/>
        </w:rPr>
        <w:t xml:space="preserve">analyser</w:t>
      </w:r>
      <w:r>
        <w:rPr>
          <w:rFonts w:ascii="Calibri" w:hAnsi="Calibri" w:cs="Calibri"/>
          <w:b/>
          <w:sz w:val="22"/>
          <w:szCs w:val="22"/>
          <w:u w:val="single"/>
        </w:rPr>
        <w:t xml:space="preserve"> pour identification d’un démonstrateur</w:t>
      </w:r>
      <w:r>
        <w:rPr>
          <w:rFonts w:ascii="Calibri" w:hAnsi="Calibri" w:cs="Calibri"/>
          <w:b/>
          <w:sz w:val="22"/>
          <w:szCs w:val="22"/>
          <w:u w:val="single"/>
        </w:rPr>
        <w:t xml:space="preserve"> sur le territoire Métropole de Lyon</w:t>
      </w:r>
      <w:r>
        <w:rPr>
          <w:rFonts w:ascii="Calibri" w:hAnsi="Calibri" w:cs="Calibri"/>
          <w:sz w:val="22"/>
          <w:szCs w:val="22"/>
        </w:rPr>
        <w:t xml:space="preserve"> :</w:t>
      </w:r>
      <w:r>
        <w:rPr>
          <w:rFonts w:ascii="Calibri" w:hAnsi="Calibri" w:cs="Calibri"/>
          <w:sz w:val="22"/>
          <w:szCs w:val="22"/>
          <w:highlight w:val="none"/>
        </w:rPr>
      </w:r>
      <w:r>
        <w:rPr>
          <w:rFonts w:ascii="Calibri" w:hAnsi="Calibri" w:cs="Calibri"/>
          <w:sz w:val="22"/>
          <w:szCs w:val="22"/>
          <w:highlight w:val="none"/>
        </w:rPr>
      </w:r>
    </w:p>
    <w:p>
      <w:pPr>
        <w:pStyle w:val="994"/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numPr>
          <w:ilvl w:val="0"/>
          <w:numId w:val="29"/>
        </w:numPr>
        <w:pBdr/>
        <w:spacing w:after="0" w:afterAutospacing="0" w:before="0" w:beforeAutospacing="0"/>
        <w:ind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Côté </w:t>
      </w:r>
      <w:r>
        <w:rPr>
          <w:rFonts w:ascii="Calibri" w:hAnsi="Calibri" w:cs="Calibri"/>
          <w:b/>
          <w:sz w:val="22"/>
          <w:szCs w:val="22"/>
        </w:rPr>
        <w:t xml:space="preserve">ressource</w:t>
      </w:r>
      <w:r>
        <w:rPr>
          <w:rFonts w:ascii="Calibri" w:hAnsi="Calibri" w:cs="Calibri"/>
          <w:b/>
          <w:sz w:val="22"/>
          <w:szCs w:val="22"/>
        </w:rPr>
        <w:t xml:space="preserve"> :</w:t>
      </w:r>
      <w:r>
        <w:rPr>
          <w:rFonts w:ascii="Calibri" w:hAnsi="Calibri" w:cs="Calibri"/>
          <w:b/>
          <w:sz w:val="22"/>
          <w:szCs w:val="22"/>
        </w:rPr>
      </w:r>
      <w:r>
        <w:rPr>
          <w:rFonts w:ascii="Calibri" w:hAnsi="Calibri" w:cs="Calibri"/>
          <w:b/>
          <w:sz w:val="22"/>
          <w:szCs w:val="22"/>
        </w:rPr>
      </w:r>
    </w:p>
    <w:p>
      <w:pPr>
        <w:pStyle w:val="994"/>
        <w:numPr>
          <w:ilvl w:val="1"/>
          <w:numId w:val="29"/>
        </w:numPr>
        <w:pBdr/>
        <w:spacing w:after="0" w:afterAutospacing="0" w:before="0" w:beforeAutospacing="0"/>
        <w:ind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Il faut viser l’ouest Lyonnais – roche métamorphique (pas circulation d’eau et bonnes caractéristiques)</w:t>
      </w:r>
      <w:r>
        <w:rPr>
          <w:rFonts w:ascii="Calibri" w:hAnsi="Calibri" w:cs="Calibri"/>
          <w:b/>
          <w:sz w:val="22"/>
          <w:szCs w:val="22"/>
        </w:rPr>
      </w:r>
      <w:r>
        <w:rPr>
          <w:rFonts w:ascii="Calibri" w:hAnsi="Calibri" w:cs="Calibri"/>
          <w:b/>
          <w:sz w:val="22"/>
          <w:szCs w:val="22"/>
        </w:rPr>
      </w:r>
    </w:p>
    <w:p>
      <w:pPr>
        <w:pStyle w:val="994"/>
        <w:numPr>
          <w:ilvl w:val="1"/>
          <w:numId w:val="29"/>
        </w:numPr>
        <w:pBdr/>
        <w:spacing w:after="0" w:afterAutospacing="0" w:before="0" w:beforeAutospacing="0"/>
        <w:ind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Foncier nécessaire pour utiliser la ressource (les sondes sont espacées et 10 m chacun globalement – potentiellement moins – et une sonde apporte 10 kW côté bâtiment)</w:t>
      </w:r>
      <w:bookmarkStart w:id="0" w:name="_GoBack"/>
      <w:r/>
      <w:bookmarkEnd w:id="0"/>
      <w:r>
        <w:rPr>
          <w:rFonts w:ascii="Calibri" w:hAnsi="Calibri" w:cs="Calibri"/>
          <w:b/>
          <w:sz w:val="22"/>
          <w:szCs w:val="22"/>
        </w:rPr>
      </w:r>
      <w:r>
        <w:rPr>
          <w:rFonts w:ascii="Calibri" w:hAnsi="Calibri" w:cs="Calibri"/>
          <w:b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 w:firstLine="0" w:left="7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  <w:highlight w:val="none"/>
        </w:rPr>
      </w:r>
      <w:r>
        <w:rPr>
          <w:rFonts w:ascii="Calibri" w:hAnsi="Calibri" w:cs="Calibri"/>
          <w:sz w:val="22"/>
          <w:szCs w:val="22"/>
          <w:highlight w:val="none"/>
        </w:rPr>
      </w:r>
      <w:r>
        <w:rPr>
          <w:rFonts w:ascii="Calibri" w:hAnsi="Calibri" w:cs="Calibri"/>
          <w:b/>
          <w:bCs/>
          <w:sz w:val="22"/>
          <w:szCs w:val="22"/>
        </w:rPr>
      </w:r>
    </w:p>
    <w:p>
      <w:pPr>
        <w:pStyle w:val="994"/>
        <w:numPr>
          <w:ilvl w:val="0"/>
          <w:numId w:val="29"/>
        </w:numPr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Côté énergie à stocker</w:t>
      </w:r>
      <w:r>
        <w:rPr>
          <w:rFonts w:ascii="Calibri" w:hAnsi="Calibri" w:cs="Calibri"/>
          <w:sz w:val="22"/>
          <w:szCs w:val="22"/>
        </w:rPr>
        <w:t xml:space="preserve"> :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numPr>
          <w:ilvl w:val="1"/>
          <w:numId w:val="29"/>
        </w:numPr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Valoriser de l’énergie en surplus (soit liée à un surdimensionnement non souhaité, soit énergie fatale d’une Unité d’Incinération des Ordures Ménagères, coproduction de panneaux hybrides) disponible, bas carbone et peu coûteuse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numPr>
          <w:ilvl w:val="1"/>
          <w:numId w:val="29"/>
        </w:numPr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Valoriser du solaire thermique surdimensionné volontairement permettant une décharge dans le sol pour équilibrer le sous-sol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 w:firstLine="0"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highlight w:val="none"/>
        </w:rPr>
      </w:r>
      <w:r>
        <w:rPr>
          <w:rFonts w:ascii="Calibri" w:hAnsi="Calibri" w:cs="Calibri"/>
          <w:sz w:val="22"/>
          <w:szCs w:val="22"/>
          <w:highlight w:val="none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numPr>
          <w:ilvl w:val="0"/>
          <w:numId w:val="29"/>
        </w:numPr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Côté usage</w:t>
      </w:r>
      <w:r>
        <w:rPr>
          <w:rFonts w:ascii="Calibri" w:hAnsi="Calibri" w:cs="Calibri"/>
          <w:sz w:val="22"/>
          <w:szCs w:val="22"/>
        </w:rPr>
        <w:t xml:space="preserve"> :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numPr>
          <w:ilvl w:val="1"/>
          <w:numId w:val="29"/>
        </w:numPr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Usages basse ou hautes température avec des injections jusqu’à 40 °C (recharge) – utilisation d’une pompe à chaleur nécessaire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numPr>
          <w:ilvl w:val="1"/>
          <w:numId w:val="29"/>
        </w:numPr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Usages basse température avec des injections de l’ordre de 70-90°C (stockage) – utilisation possible de l’énergie en direct 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numPr>
          <w:ilvl w:val="1"/>
          <w:numId w:val="29"/>
        </w:numPr>
        <w:pBdr/>
        <w:spacing w:after="0" w:afterAutospacing="0" w:before="0" w:beforeAutospacing="0"/>
        <w:ind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Usages hautes températures (eau chaude, eau surchauffée) avec des injections supérieurs à 100 °C (stockage) – utilisation d’une pompe à chaleur nécessaire « à priori »</w: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p>
      <w:pPr>
        <w:pStyle w:val="994"/>
        <w:pBdr/>
        <w:spacing w:after="0" w:afterAutospacing="0" w:before="0" w:beforeAutospacing="0"/>
        <w:ind w:left="3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sectPr>
      <w:headerReference w:type="default" r:id="rId9"/>
      <w:footerReference w:type="default" r:id="rId10"/>
      <w:footnotePr/>
      <w:endnotePr/>
      <w:type w:val="nextPage"/>
      <w:pgSz w:h="16838" w:orient="portrait" w:w="11906"/>
      <w:pgMar w:top="1560" w:right="1417" w:bottom="1417" w:left="1417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774747253"/>
      <w:docPartObj>
        <w:docPartGallery w:val="Page Numbers (Bottom of Page)"/>
        <w:docPartUnique w:val="true"/>
      </w:docPartObj>
      <w:rPr/>
    </w:sdtPr>
    <w:sdtContent>
      <w:p>
        <w:pPr>
          <w:pStyle w:val="989"/>
          <w:pBdr/>
          <w:spacing/>
          <w:ind/>
          <w:jc w:val="right"/>
          <w:rPr>
            <w:sz w:val="20"/>
            <w:szCs w:val="20"/>
          </w:rPr>
        </w:pPr>
        <w:r>
          <w:rPr>
            <w:sz w:val="20"/>
            <w:szCs w:val="20"/>
            <w:lang w:eastAsia="fr-FR"/>
          </w:rPr>
          <mc:AlternateContent>
            <mc:Choice Requires="wpg">
              <w:drawing>
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1" locked="0" layoutInCell="1" allowOverlap="1">
                  <wp:simplePos x="0" y="0"/>
                  <wp:positionH relativeFrom="page">
                    <wp:align>left</wp:align>
                  </wp:positionH>
                  <wp:positionV relativeFrom="paragraph">
                    <wp:posOffset>277495</wp:posOffset>
                  </wp:positionV>
                  <wp:extent cx="7973770" cy="200079"/>
                  <wp:effectExtent l="0" t="0" r="0" b="9525"/>
                  <wp:wrapNone/>
                  <wp:docPr id="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ndeau adresse ALEC.png"/>
                          <pic:cNvPicPr>
                            <a:picLocks noChangeAspect="1"/>
                          </pic:cNvPicPr>
                          <pic:nvPr/>
                        </pic:nvPicPr>
                        <pic:blipFill>
                          <a:blip r:embed="rId1"/>
                          <a:stretch/>
                        </pic:blipFill>
                        <pic:spPr bwMode="auto">
                          <a:xfrm>
                            <a:off x="0" y="0"/>
                            <a:ext cx="7973770" cy="20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3" o:spid="_x0000_s3" type="#_x0000_t75" style="position:absolute;z-index:-251661312;o:allowoverlap:true;o:allowincell:true;mso-position-horizontal-relative:page;mso-position-horizontal:left;mso-position-vertical-relative:text;margin-top:21.85pt;mso-position-vertical:absolute;width:627.86pt;height:15.75pt;mso-wrap-distance-left:9.00pt;mso-wrap-distance-top:0.00pt;mso-wrap-distance-right:9.00pt;mso-wrap-distance-bottom:0.00pt;z-index:1;" stroked="false">
                  <v:imagedata r:id="rId1" o:title=""/>
                  <o:lock v:ext="edit" rotation="t"/>
                </v:shape>
              </w:pict>
            </mc:Fallback>
          </mc:AlternateContent>
        </w:r>
        <w:r>
          <w:rPr>
            <w:sz w:val="20"/>
            <w:szCs w:val="20"/>
          </w:rPr>
          <w:fldChar w:fldCharType="begin"/>
        </w:r>
        <w:r>
          <w:rPr>
            <w:sz w:val="20"/>
            <w:szCs w:val="20"/>
          </w:rPr>
          <w:instrText xml:space="preserve">PAGE   \* MERGEFORMAT</w:instrText>
        </w:r>
        <w:r>
          <w:rPr>
            <w:sz w:val="20"/>
            <w:szCs w:val="20"/>
          </w:rPr>
          <w:fldChar w:fldCharType="separate"/>
        </w:r>
        <w:r>
          <w:rPr>
            <w:sz w:val="20"/>
            <w:szCs w:val="20"/>
          </w:rPr>
          <w:t xml:space="preserve">7</w:t>
        </w:r>
        <w:r>
          <w:rPr>
            <w:sz w:val="20"/>
            <w:szCs w:val="20"/>
          </w:rPr>
          <w:fldChar w:fldCharType="end"/>
        </w:r>
        <w:r>
          <w:rPr>
            <w:sz w:val="20"/>
            <w:szCs w:val="20"/>
          </w:rPr>
        </w:r>
        <w:r>
          <w:rPr>
            <w:sz w:val="20"/>
            <w:szCs w:val="20"/>
          </w:rPr>
        </w:r>
      </w:p>
      <w:p>
        <w:pPr>
          <w:pStyle w:val="989"/>
          <w:pBdr/>
          <w:spacing/>
          <w:ind/>
          <w:jc w:val="right"/>
          <w:rPr/>
        </w:pPr>
        <w:r/>
        <w:r/>
      </w:p>
    </w:sdtContent>
  </w:sdt>
  <w:p>
    <w:pPr>
      <w:pStyle w:val="989"/>
      <w:pBdr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87"/>
      <w:pBdr/>
      <w:spacing/>
      <w:ind/>
      <w:rPr/>
    </w:pPr>
    <w:r>
      <w:rPr>
        <w:lang w:eastAsia="fr-FR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1" locked="0" layoutInCell="1" allowOverlap="1">
              <wp:simplePos x="0" y="0"/>
              <wp:positionH relativeFrom="column">
                <wp:posOffset>4002405</wp:posOffset>
              </wp:positionH>
              <wp:positionV relativeFrom="paragraph">
                <wp:posOffset>-297180</wp:posOffset>
              </wp:positionV>
              <wp:extent cx="2120900" cy="640253"/>
              <wp:effectExtent l="0" t="0" r="0" b="7620"/>
              <wp:wrapTight wrapText="bothSides">
                <wp:wrapPolygon edited="1">
                  <wp:start x="0" y="0"/>
                  <wp:lineTo x="0" y="21214"/>
                  <wp:lineTo x="21341" y="21214"/>
                  <wp:lineTo x="21341" y="0"/>
                  <wp:lineTo x="0" y="0"/>
                </wp:wrapPolygon>
              </wp:wrapTight>
              <wp:docPr id="1" name="Image 2" descr="Z:\Innovation\Animations filières\1 - Filières\Chaud Froid\ANIGEO - Géothermie\LOGO_Geothermie_Aura_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Z:\Innovation\Animations filières\1 - Filières\Chaud Froid\ANIGEO - Géothermie\LOGO_Geothermie_Aura_1.jpg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120900" cy="6402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-251663360;o:allowoverlap:true;o:allowincell:true;mso-position-horizontal-relative:text;margin-left:315.15pt;mso-position-horizontal:absolute;mso-position-vertical-relative:text;margin-top:-23.40pt;mso-position-vertical:absolute;width:167.00pt;height:50.41pt;mso-wrap-distance-left:9.00pt;mso-wrap-distance-top:0.00pt;mso-wrap-distance-right:9.00pt;mso-wrap-distance-bottom:0.00pt;z-index:1;" wrapcoords="0 0 0 98213 98801 98213 98801 0 0 0" stroked="f">
              <w10:wrap type="tight"/>
              <v:imagedata r:id="rId1" o:title=""/>
              <o:lock v:ext="edit" rotation="t"/>
            </v:shape>
          </w:pict>
        </mc:Fallback>
      </mc:AlternateContent>
    </w:r>
    <w:r>
      <w:rPr>
        <w:lang w:eastAsia="fr-FR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1" locked="0" layoutInCell="1" allowOverlap="1">
              <wp:simplePos x="0" y="0"/>
              <wp:positionH relativeFrom="margin">
                <wp:posOffset>1468755</wp:posOffset>
              </wp:positionH>
              <wp:positionV relativeFrom="paragraph">
                <wp:posOffset>-316230</wp:posOffset>
              </wp:positionV>
              <wp:extent cx="2324100" cy="547370"/>
              <wp:effectExtent l="0" t="0" r="0" b="5080"/>
              <wp:wrapTight wrapText="bothSides">
                <wp:wrapPolygon edited="1">
                  <wp:start x="0" y="0"/>
                  <wp:lineTo x="0" y="21049"/>
                  <wp:lineTo x="21423" y="21049"/>
                  <wp:lineTo x="21423" y="0"/>
                  <wp:lineTo x="0" y="0"/>
                </wp:wrapPolygon>
              </wp:wrapTight>
              <wp:docPr id="2" name="Imag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5950441" name="Image 1245950441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2324100" cy="5473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-251662336;o:allowoverlap:true;o:allowincell:true;mso-position-horizontal-relative:margin;margin-left:115.65pt;mso-position-horizontal:absolute;mso-position-vertical-relative:text;margin-top:-24.90pt;mso-position-vertical:absolute;width:183.00pt;height:43.10pt;mso-wrap-distance-left:9.00pt;mso-wrap-distance-top:0.00pt;mso-wrap-distance-right:9.00pt;mso-wrap-distance-bottom:0.00pt;z-index:1;" wrapcoords="0 0 0 97449 99181 97449 99181 0 0 0" stroked="false">
              <w10:wrap type="tight"/>
              <v:imagedata r:id="rId2" o:title=""/>
              <o:lock v:ext="edit" rotation="t"/>
            </v:shape>
          </w:pict>
        </mc:Fallback>
      </mc:AlternateContent>
    </w:r>
    <w:r>
      <w:rPr>
        <w:lang w:eastAsia="fr-FR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<wp:simplePos x="0" y="0"/>
              <wp:positionH relativeFrom="column">
                <wp:posOffset>-645794</wp:posOffset>
              </wp:positionH>
              <wp:positionV relativeFrom="paragraph">
                <wp:posOffset>-328930</wp:posOffset>
              </wp:positionV>
              <wp:extent cx="1879600" cy="478543"/>
              <wp:effectExtent l="0" t="0" r="0" b="0"/>
              <wp:wrapNone/>
              <wp:docPr id="3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Logos_RVB_Horizontal_bleu.png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897997" cy="4832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position:absolute;z-index:251659264;o:allowoverlap:true;o:allowincell:true;mso-position-horizontal-relative:text;margin-left:-50.85pt;mso-position-horizontal:absolute;mso-position-vertical-relative:text;margin-top:-25.90pt;mso-position-vertical:absolute;width:148.00pt;height:37.68pt;mso-wrap-distance-left:9.00pt;mso-wrap-distance-top:0.00pt;mso-wrap-distance-right:9.00pt;mso-wrap-distance-bottom:0.00pt;z-index:1;" stroked="false">
              <v:imagedata r:id="rId3" o:title=""/>
              <o:lock v:ext="edit" rotation="t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2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hint="default" w:ascii="Calibri" w:hAnsi="Calibri" w:cs="Calibri" w:eastAsiaTheme="minorHAnsi"/>
      </w:rPr>
      <w:start w:val="0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3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4">
    <w:lvl w:ilvl="0">
      <w:isLgl w:val="false"/>
      <w:lvlJc w:val="left"/>
      <w:lvlText w:val="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Wingdings" w:hAnsi="Wingdings"/>
      </w:rPr>
      <w:start w:val="1"/>
      <w:suff w:val="tab"/>
    </w:lvl>
    <w:lvl w:ilvl="1">
      <w:isLgl w:val="false"/>
      <w:lvlJc w:val="left"/>
      <w:lvlText w:val="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Wingdings" w:hAnsi="Wingdings"/>
      </w:rPr>
      <w:start w:val="1"/>
      <w:suff w:val="tab"/>
    </w:lvl>
    <w:lvl w:ilvl="2">
      <w:isLgl w:val="false"/>
      <w:lvlJc w:val="left"/>
      <w:lvlText w:val="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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</w:rPr>
      <w:start w:val="1"/>
      <w:suff w:val="tab"/>
    </w:lvl>
    <w:lvl w:ilvl="4">
      <w:isLgl w:val="false"/>
      <w:lvlJc w:val="left"/>
      <w:lvlText w:val="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</w:rPr>
      <w:start w:val="1"/>
      <w:suff w:val="tab"/>
    </w:lvl>
    <w:lvl w:ilvl="5">
      <w:isLgl w:val="false"/>
      <w:lvlJc w:val="left"/>
      <w:lvlText w:val="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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</w:rPr>
      <w:start w:val="1"/>
      <w:suff w:val="tab"/>
    </w:lvl>
    <w:lvl w:ilvl="7">
      <w:isLgl w:val="false"/>
      <w:lvlJc w:val="left"/>
      <w:lvlText w:val="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</w:rPr>
      <w:start w:val="1"/>
      <w:suff w:val="tab"/>
    </w:lvl>
    <w:lvl w:ilvl="8">
      <w:isLgl w:val="false"/>
      <w:lvlJc w:val="left"/>
      <w:lvlText w:val="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5">
    <w:lvl w:ilvl="0">
      <w:isLgl w:val="false"/>
      <w:lvlJc w:val="left"/>
      <w:lvlText w:val=""/>
      <w:numFmt w:val="bullet"/>
      <w:pPr>
        <w:pBdr/>
        <w:spacing/>
        <w:ind w:hanging="360" w:left="1428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148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868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588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308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5028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748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468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7188"/>
      </w:pPr>
      <w:rPr>
        <w:rFonts w:hint="default" w:ascii="Wingdings" w:hAnsi="Wingdings"/>
      </w:rPr>
      <w:start w:val="1"/>
      <w:suff w:val="tab"/>
    </w:lvl>
  </w:abstractNum>
  <w:abstractNum w:abstractNumId="6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7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hint="default" w:ascii="Calibri" w:hAnsi="Calibri" w:eastAsia="Times New Roman" w:cs="Calibri"/>
      </w:rPr>
      <w:start w:val="0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8">
    <w:lvl w:ilvl="0">
      <w:isLgl w:val="false"/>
      <w:lvlJc w:val="left"/>
      <w:lvlText w:val=""/>
      <w:numFmt w:val="bullet"/>
      <w:pPr>
        <w:pBdr/>
        <w:spacing/>
        <w:ind w:hanging="360" w:left="1440"/>
      </w:pPr>
      <w:rPr>
        <w:rFonts w:hint="default" w:ascii="Wingdings" w:hAnsi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16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88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60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32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504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76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48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7200"/>
      </w:pPr>
      <w:rPr>
        <w:rFonts w:hint="default" w:ascii="Wingdings" w:hAnsi="Wingdings"/>
      </w:rPr>
      <w:start w:val="1"/>
      <w:suff w:val="tab"/>
    </w:lvl>
  </w:abstractNum>
  <w:abstractNum w:abstractNumId="9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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Symbol" w:hAnsi="Symbol"/>
        <w:sz w:val="20"/>
      </w:rPr>
      <w:start w:val="1"/>
      <w:suff w:val="tab"/>
    </w:lvl>
    <w:lvl w:ilvl="2">
      <w:isLgl w:val="false"/>
      <w:lvlJc w:val="left"/>
      <w:lvlText w:val="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Symbol" w:hAnsi="Symbol"/>
        <w:sz w:val="20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Symbol" w:hAnsi="Symbol"/>
        <w:sz w:val="20"/>
      </w:rPr>
      <w:start w:val="1"/>
      <w:suff w:val="tab"/>
    </w:lvl>
    <w:lvl w:ilvl="4">
      <w:isLgl w:val="false"/>
      <w:lvlJc w:val="left"/>
      <w:lvlText w:val="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Symbol" w:hAnsi="Symbol"/>
        <w:sz w:val="20"/>
      </w:rPr>
      <w:start w:val="1"/>
      <w:suff w:val="tab"/>
    </w:lvl>
    <w:lvl w:ilvl="5">
      <w:isLgl w:val="false"/>
      <w:lvlJc w:val="left"/>
      <w:lvlText w:val="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Symbol" w:hAnsi="Symbol"/>
        <w:sz w:val="20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Symbol" w:hAnsi="Symbol"/>
        <w:sz w:val="20"/>
      </w:rPr>
      <w:start w:val="1"/>
      <w:suff w:val="tab"/>
    </w:lvl>
    <w:lvl w:ilvl="7">
      <w:isLgl w:val="false"/>
      <w:lvlJc w:val="left"/>
      <w:lvlText w:val="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Symbol" w:hAnsi="Symbol"/>
        <w:sz w:val="20"/>
      </w:rPr>
      <w:start w:val="1"/>
      <w:suff w:val="tab"/>
    </w:lvl>
    <w:lvl w:ilvl="8">
      <w:isLgl w:val="false"/>
      <w:lvlJc w:val="left"/>
      <w:lvlText w:val="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Symbol" w:hAnsi="Symbol"/>
        <w:sz w:val="20"/>
      </w:rPr>
      <w:start w:val="1"/>
      <w:suff w:val="tab"/>
    </w:lvl>
  </w:abstractNum>
  <w:abstractNum w:abstractNumId="10">
    <w:lvl w:ilvl="0">
      <w:isLgl w:val="false"/>
      <w:lvlJc w:val="left"/>
      <w:lvlText w:val=""/>
      <w:numFmt w:val="bullet"/>
      <w:pPr>
        <w:pBdr/>
        <w:spacing/>
        <w:ind w:hanging="360" w:left="360"/>
      </w:pPr>
      <w:rPr>
        <w:rFonts w:hint="default" w:ascii="Wingdings" w:hAnsi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08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180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52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24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396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468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40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120"/>
      </w:pPr>
      <w:rPr>
        <w:rFonts w:hint="default" w:ascii="Wingdings" w:hAnsi="Wingdings"/>
      </w:rPr>
      <w:start w:val="1"/>
      <w:suff w:val="tab"/>
    </w:lvl>
  </w:abstractNum>
  <w:abstractNum w:abstractNumId="11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2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hint="default" w:ascii="Calibri" w:hAnsi="Calibri" w:eastAsia="Times New Roman" w:cs="Calibri"/>
      </w:rPr>
      <w:start w:val="0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3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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Symbol" w:hAnsi="Symbol"/>
      </w:rPr>
      <w:start w:val="1"/>
      <w:suff w:val="tab"/>
    </w:lvl>
    <w:lvl w:ilvl="2">
      <w:isLgl w:val="false"/>
      <w:lvlJc w:val="left"/>
      <w:lvlText w:val="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Symbol" w:hAnsi="Symbol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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Symbol" w:hAnsi="Symbol"/>
      </w:rPr>
      <w:start w:val="1"/>
      <w:suff w:val="tab"/>
    </w:lvl>
    <w:lvl w:ilvl="5">
      <w:isLgl w:val="false"/>
      <w:lvlJc w:val="left"/>
      <w:lvlText w:val="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Symbol" w:hAnsi="Symbol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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Symbol" w:hAnsi="Symbol"/>
      </w:rPr>
      <w:start w:val="1"/>
      <w:suff w:val="tab"/>
    </w:lvl>
    <w:lvl w:ilvl="8">
      <w:isLgl w:val="false"/>
      <w:lvlJc w:val="left"/>
      <w:lvlText w:val="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Symbol" w:hAnsi="Symbol"/>
      </w:rPr>
      <w:start w:val="1"/>
      <w:suff w:val="tab"/>
    </w:lvl>
  </w:abstractNum>
  <w:abstractNum w:abstractNumId="14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5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hint="default" w:ascii="Calibri" w:hAnsi="Calibri" w:eastAsia="Times New Roman" w:cs="Calibri"/>
      </w:rPr>
      <w:start w:val="0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6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7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hint="default" w:ascii="Calibri" w:hAnsi="Calibri" w:eastAsia="Times New Roman" w:cs="Calibri"/>
      </w:rPr>
      <w:start w:val="0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8">
    <w:lvl w:ilvl="0">
      <w:isLgl w:val="false"/>
      <w:lvlJc w:val="left"/>
      <w:lvlText w:val=""/>
      <w:numFmt w:val="bullet"/>
      <w:pPr>
        <w:pBdr/>
        <w:spacing/>
        <w:ind w:hanging="360" w:left="720"/>
      </w:pPr>
      <w:rPr>
        <w:rFonts w:hint="default" w:ascii="Wingdings" w:hAnsi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9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hint="default" w:ascii="Calibri" w:hAnsi="Calibri" w:cs="Calibri" w:eastAsiaTheme="minorHAnsi"/>
      </w:rPr>
      <w:start w:val="0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0">
    <w:lvl w:ilvl="0">
      <w:isLgl w:val="false"/>
      <w:lvlJc w:val="left"/>
      <w:lvlText w:val="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Wingdings" w:hAnsi="Wingdings"/>
      </w:rPr>
      <w:start w:val="1"/>
      <w:suff w:val="tab"/>
    </w:lvl>
    <w:lvl w:ilvl="1">
      <w:isLgl w:val="false"/>
      <w:lvlJc w:val="left"/>
      <w:lvlText w:val="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Wingdings" w:hAnsi="Wingdings"/>
      </w:rPr>
      <w:start w:val="0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1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2">
    <w:lvl w:ilvl="0">
      <w:isLgl w:val="false"/>
      <w:lvlJc w:val="left"/>
      <w:lvlText w:val=""/>
      <w:numFmt w:val="bullet"/>
      <w:pPr>
        <w:pBdr/>
        <w:spacing/>
        <w:ind w:hanging="360" w:left="720"/>
      </w:pPr>
      <w:rPr>
        <w:rFonts w:hint="default" w:ascii="Wingdings" w:hAnsi="Wingdings" w:eastAsiaTheme="minorHAnsi" w:cstheme="minorBidi"/>
      </w:rPr>
      <w:start w:val="30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3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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Symbol" w:hAnsi="Symbol"/>
        <w:sz w:val="20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Symbol" w:hAnsi="Symbol"/>
        <w:sz w:val="20"/>
      </w:rPr>
      <w:start w:val="1"/>
      <w:suff w:val="tab"/>
    </w:lvl>
    <w:lvl w:ilvl="4">
      <w:isLgl w:val="false"/>
      <w:lvlJc w:val="left"/>
      <w:lvlText w:val="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Symbol" w:hAnsi="Symbol"/>
        <w:sz w:val="20"/>
      </w:rPr>
      <w:start w:val="1"/>
      <w:suff w:val="tab"/>
    </w:lvl>
    <w:lvl w:ilvl="5">
      <w:isLgl w:val="false"/>
      <w:lvlJc w:val="left"/>
      <w:lvlText w:val="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Symbol" w:hAnsi="Symbol"/>
        <w:sz w:val="20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Symbol" w:hAnsi="Symbol"/>
        <w:sz w:val="20"/>
      </w:rPr>
      <w:start w:val="1"/>
      <w:suff w:val="tab"/>
    </w:lvl>
    <w:lvl w:ilvl="7">
      <w:isLgl w:val="false"/>
      <w:lvlJc w:val="left"/>
      <w:lvlText w:val="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Symbol" w:hAnsi="Symbol"/>
        <w:sz w:val="20"/>
      </w:rPr>
      <w:start w:val="1"/>
      <w:suff w:val="tab"/>
    </w:lvl>
    <w:lvl w:ilvl="8">
      <w:isLgl w:val="false"/>
      <w:lvlJc w:val="left"/>
      <w:lvlText w:val="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Symbol" w:hAnsi="Symbol"/>
        <w:sz w:val="20"/>
      </w:rPr>
      <w:start w:val="1"/>
      <w:suff w:val="tab"/>
    </w:lvl>
  </w:abstractNum>
  <w:abstractNum w:abstractNumId="24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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Symbol" w:hAnsi="Symbol"/>
      </w:rPr>
      <w:start w:val="1"/>
      <w:suff w:val="tab"/>
    </w:lvl>
    <w:lvl w:ilvl="2">
      <w:isLgl w:val="false"/>
      <w:lvlJc w:val="left"/>
      <w:lvlText w:val="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Symbol" w:hAnsi="Symbol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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Symbol" w:hAnsi="Symbol"/>
      </w:rPr>
      <w:start w:val="1"/>
      <w:suff w:val="tab"/>
    </w:lvl>
    <w:lvl w:ilvl="5">
      <w:isLgl w:val="false"/>
      <w:lvlJc w:val="left"/>
      <w:lvlText w:val="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Symbol" w:hAnsi="Symbol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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Symbol" w:hAnsi="Symbol"/>
      </w:rPr>
      <w:start w:val="1"/>
      <w:suff w:val="tab"/>
    </w:lvl>
    <w:lvl w:ilvl="8">
      <w:isLgl w:val="false"/>
      <w:lvlJc w:val="left"/>
      <w:lvlText w:val="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Symbol" w:hAnsi="Symbol"/>
      </w:rPr>
      <w:start w:val="1"/>
      <w:suff w:val="tab"/>
    </w:lvl>
  </w:abstractNum>
  <w:abstractNum w:abstractNumId="25">
    <w:lvl w:ilvl="0">
      <w:isLgl w:val="false"/>
      <w:lvlJc w:val="left"/>
      <w:lvlText w:val=""/>
      <w:numFmt w:val="bullet"/>
      <w:pPr>
        <w:pBdr/>
        <w:spacing/>
        <w:ind w:hanging="360" w:left="144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16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88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60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32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504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76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48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7200"/>
      </w:pPr>
      <w:rPr>
        <w:rFonts w:hint="default" w:ascii="Wingdings" w:hAnsi="Wingdings"/>
      </w:rPr>
      <w:start w:val="1"/>
      <w:suff w:val="tab"/>
    </w:lvl>
  </w:abstractNum>
  <w:abstractNum w:abstractNumId="26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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Symbol" w:hAnsi="Symbol"/>
      </w:rPr>
      <w:start w:val="1"/>
      <w:suff w:val="tab"/>
    </w:lvl>
    <w:lvl w:ilvl="2">
      <w:isLgl w:val="false"/>
      <w:lvlJc w:val="left"/>
      <w:lvlText w:val="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Symbol" w:hAnsi="Symbol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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Symbol" w:hAnsi="Symbol"/>
      </w:rPr>
      <w:start w:val="1"/>
      <w:suff w:val="tab"/>
    </w:lvl>
    <w:lvl w:ilvl="5">
      <w:isLgl w:val="false"/>
      <w:lvlJc w:val="left"/>
      <w:lvlText w:val="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Symbol" w:hAnsi="Symbol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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Symbol" w:hAnsi="Symbol"/>
      </w:rPr>
      <w:start w:val="1"/>
      <w:suff w:val="tab"/>
    </w:lvl>
    <w:lvl w:ilvl="8">
      <w:isLgl w:val="false"/>
      <w:lvlJc w:val="left"/>
      <w:lvlText w:val="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Symbol" w:hAnsi="Symbol"/>
      </w:rPr>
      <w:start w:val="1"/>
      <w:suff w:val="tab"/>
    </w:lvl>
  </w:abstractNum>
  <w:abstractNum w:abstractNumId="27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hint="default" w:ascii="Calibri" w:hAnsi="Calibri" w:cs="Calibri" w:eastAsiaTheme="minorHAnsi"/>
      </w:rPr>
      <w:start w:val="0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8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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Symbol" w:hAnsi="Symbol"/>
      </w:rPr>
      <w:start w:val="0"/>
      <w:suff w:val="tab"/>
    </w:lvl>
    <w:lvl w:ilvl="2">
      <w:isLgl w:val="false"/>
      <w:lvlJc w:val="left"/>
      <w:lvlText w:val="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Symbol" w:hAnsi="Symbol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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Symbol" w:hAnsi="Symbol"/>
      </w:rPr>
      <w:start w:val="1"/>
      <w:suff w:val="tab"/>
    </w:lvl>
    <w:lvl w:ilvl="5">
      <w:isLgl w:val="false"/>
      <w:lvlJc w:val="left"/>
      <w:lvlText w:val="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Symbol" w:hAnsi="Symbol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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Symbol" w:hAnsi="Symbol"/>
      </w:rPr>
      <w:start w:val="1"/>
      <w:suff w:val="tab"/>
    </w:lvl>
    <w:lvl w:ilvl="8">
      <w:isLgl w:val="false"/>
      <w:lvlJc w:val="left"/>
      <w:lvlText w:val="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Symbol" w:hAnsi="Symbol"/>
      </w:rPr>
      <w:start w:val="1"/>
      <w:suff w:val="tab"/>
    </w:lvl>
  </w:abstractNum>
  <w:abstractNum w:abstractNumId="29">
    <w:lvl w:ilvl="0">
      <w:isLgl w:val="false"/>
      <w:lvlJc w:val="left"/>
      <w:lvlText w:val=""/>
      <w:numFmt w:val="bullet"/>
      <w:pPr>
        <w:pBdr/>
        <w:spacing/>
        <w:ind w:hanging="360" w:left="720"/>
      </w:pPr>
      <w:rPr>
        <w:rFonts w:hint="default" w:ascii="Wingdings" w:hAnsi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30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hint="default" w:ascii="Calibri" w:hAnsi="Calibri" w:eastAsia="Times New Roman" w:cs="Calibri"/>
      </w:rPr>
      <w:start w:val="0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31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32">
    <w:lvl w:ilvl="0">
      <w:isLgl w:val="false"/>
      <w:lvlJc w:val="left"/>
      <w:lvlText w:val=""/>
      <w:numFmt w:val="bullet"/>
      <w:pPr>
        <w:pBdr/>
        <w:spacing/>
        <w:ind w:hanging="360" w:left="360"/>
      </w:pPr>
      <w:rPr>
        <w:rFonts w:hint="default" w:ascii="Wingdings" w:hAnsi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08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180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52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24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396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468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40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120"/>
      </w:pPr>
      <w:rPr>
        <w:rFonts w:hint="default" w:ascii="Wingdings" w:hAnsi="Wingdings"/>
      </w:rPr>
      <w:start w:val="1"/>
      <w:suff w:val="tab"/>
    </w:lvl>
  </w:abstractNum>
  <w:abstractNum w:abstractNumId="33">
    <w:lvl w:ilvl="0">
      <w:isLgl w:val="false"/>
      <w:lvlJc w:val="left"/>
      <w:lvlText w:val="Ø"/>
      <w:numFmt w:val="bullet"/>
      <w:pPr>
        <w:pBdr/>
        <w:spacing/>
        <w:ind w:hanging="360" w:left="709"/>
      </w:pPr>
      <w:rPr>
        <w:rFonts w:ascii="Wingdings" w:hAnsi="Wingdings" w:eastAsia="Wingdings" w:cs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34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num w:numId="1">
    <w:abstractNumId w:val="1"/>
  </w:num>
  <w:num w:numId="2">
    <w:abstractNumId w:val="5"/>
  </w:num>
  <w:num w:numId="3">
    <w:abstractNumId w:val="22"/>
  </w:num>
  <w:num w:numId="4">
    <w:abstractNumId w:val="11"/>
  </w:num>
  <w:num w:numId="5">
    <w:abstractNumId w:val="6"/>
  </w:num>
  <w:num w:numId="6">
    <w:abstractNumId w:val="3"/>
  </w:num>
  <w:num w:numId="7">
    <w:abstractNumId w:val="16"/>
  </w:num>
  <w:num w:numId="8">
    <w:abstractNumId w:val="15"/>
  </w:num>
  <w:num w:numId="9">
    <w:abstractNumId w:val="30"/>
  </w:num>
  <w:num w:numId="10">
    <w:abstractNumId w:val="7"/>
  </w:num>
  <w:num w:numId="11">
    <w:abstractNumId w:val="12"/>
  </w:num>
  <w:num w:numId="12">
    <w:abstractNumId w:val="17"/>
  </w:num>
  <w:num w:numId="13">
    <w:abstractNumId w:val="19"/>
  </w:num>
  <w:num w:numId="14">
    <w:abstractNumId w:val="27"/>
  </w:num>
  <w:num w:numId="15">
    <w:abstractNumId w:val="2"/>
  </w:num>
  <w:num w:numId="16">
    <w:abstractNumId w:val="13"/>
  </w:num>
  <w:num w:numId="17">
    <w:abstractNumId w:val="28"/>
  </w:num>
  <w:num w:numId="18">
    <w:abstractNumId w:val="26"/>
  </w:num>
  <w:num w:numId="19">
    <w:abstractNumId w:val="24"/>
  </w:num>
  <w:num w:numId="20">
    <w:abstractNumId w:val="21"/>
  </w:num>
  <w:num w:numId="21">
    <w:abstractNumId w:val="14"/>
  </w:num>
  <w:num w:numId="22">
    <w:abstractNumId w:val="4"/>
  </w:num>
  <w:num w:numId="23">
    <w:abstractNumId w:val="20"/>
  </w:num>
  <w:num w:numId="24">
    <w:abstractNumId w:val="9"/>
  </w:num>
  <w:num w:numId="25">
    <w:abstractNumId w:val="23"/>
  </w:num>
  <w:num w:numId="26">
    <w:abstractNumId w:val="25"/>
  </w:num>
  <w:num w:numId="27">
    <w:abstractNumId w:val="0"/>
  </w:num>
  <w:num w:numId="28">
    <w:abstractNumId w:val="8"/>
  </w:num>
  <w:num w:numId="29">
    <w:abstractNumId w:val="18"/>
  </w:num>
  <w:num w:numId="30">
    <w:abstractNumId w:val="29"/>
  </w:num>
  <w:num w:numId="31">
    <w:abstractNumId w:val="1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pBdr/>
        <w:spacing w:after="160" w:afterAutospacing="0" w:before="0" w:beforeAutospacing="0" w:line="259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10">
    <w:name w:val="Heading 1 Char"/>
    <w:basedOn w:val="983"/>
    <w:link w:val="981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811">
    <w:name w:val="Heading 2 Char"/>
    <w:basedOn w:val="983"/>
    <w:link w:val="982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812">
    <w:name w:val="Heading 3"/>
    <w:basedOn w:val="980"/>
    <w:next w:val="980"/>
    <w:link w:val="813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813">
    <w:name w:val="Heading 3 Char"/>
    <w:basedOn w:val="983"/>
    <w:link w:val="812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814">
    <w:name w:val="Heading 4"/>
    <w:basedOn w:val="980"/>
    <w:next w:val="980"/>
    <w:link w:val="815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15">
    <w:name w:val="Heading 4 Char"/>
    <w:basedOn w:val="983"/>
    <w:link w:val="814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816">
    <w:name w:val="Heading 5"/>
    <w:basedOn w:val="980"/>
    <w:next w:val="980"/>
    <w:link w:val="817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17">
    <w:name w:val="Heading 5 Char"/>
    <w:basedOn w:val="983"/>
    <w:link w:val="816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818">
    <w:name w:val="Heading 6"/>
    <w:basedOn w:val="980"/>
    <w:next w:val="980"/>
    <w:link w:val="819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19">
    <w:name w:val="Heading 6 Char"/>
    <w:basedOn w:val="983"/>
    <w:link w:val="818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820">
    <w:name w:val="Heading 7"/>
    <w:basedOn w:val="980"/>
    <w:next w:val="980"/>
    <w:link w:val="821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21">
    <w:name w:val="Heading 7 Char"/>
    <w:basedOn w:val="983"/>
    <w:link w:val="820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22">
    <w:name w:val="Heading 8"/>
    <w:basedOn w:val="980"/>
    <w:next w:val="980"/>
    <w:link w:val="823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23">
    <w:name w:val="Heading 8 Char"/>
    <w:basedOn w:val="983"/>
    <w:link w:val="822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824">
    <w:name w:val="Heading 9"/>
    <w:basedOn w:val="980"/>
    <w:next w:val="980"/>
    <w:link w:val="825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25">
    <w:name w:val="Heading 9 Char"/>
    <w:basedOn w:val="983"/>
    <w:link w:val="824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826">
    <w:name w:val="Title"/>
    <w:basedOn w:val="980"/>
    <w:next w:val="980"/>
    <w:link w:val="827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827">
    <w:name w:val="Title Char"/>
    <w:basedOn w:val="983"/>
    <w:link w:val="826"/>
    <w:uiPriority w:val="10"/>
    <w:pPr>
      <w:pBdr/>
      <w:spacing/>
      <w:ind/>
    </w:pPr>
    <w:rPr>
      <w:sz w:val="48"/>
      <w:szCs w:val="48"/>
    </w:rPr>
  </w:style>
  <w:style w:type="paragraph" w:styleId="828">
    <w:name w:val="Subtitle"/>
    <w:basedOn w:val="980"/>
    <w:next w:val="980"/>
    <w:link w:val="829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829">
    <w:name w:val="Subtitle Char"/>
    <w:basedOn w:val="983"/>
    <w:link w:val="828"/>
    <w:uiPriority w:val="11"/>
    <w:pPr>
      <w:pBdr/>
      <w:spacing/>
      <w:ind/>
    </w:pPr>
    <w:rPr>
      <w:sz w:val="24"/>
      <w:szCs w:val="24"/>
    </w:rPr>
  </w:style>
  <w:style w:type="paragraph" w:styleId="830">
    <w:name w:val="Quote"/>
    <w:basedOn w:val="980"/>
    <w:next w:val="980"/>
    <w:link w:val="831"/>
    <w:uiPriority w:val="29"/>
    <w:qFormat/>
    <w:pPr>
      <w:pBdr/>
      <w:spacing/>
      <w:ind w:right="720" w:left="720"/>
    </w:pPr>
    <w:rPr>
      <w:i/>
    </w:rPr>
  </w:style>
  <w:style w:type="character" w:styleId="831">
    <w:name w:val="Quote Char"/>
    <w:link w:val="830"/>
    <w:uiPriority w:val="29"/>
    <w:pPr>
      <w:pBdr/>
      <w:spacing/>
      <w:ind/>
    </w:pPr>
    <w:rPr>
      <w:i/>
    </w:rPr>
  </w:style>
  <w:style w:type="paragraph" w:styleId="832">
    <w:name w:val="Intense Quote"/>
    <w:basedOn w:val="980"/>
    <w:next w:val="980"/>
    <w:link w:val="833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833">
    <w:name w:val="Intense Quote Char"/>
    <w:link w:val="832"/>
    <w:uiPriority w:val="30"/>
    <w:pPr>
      <w:pBdr/>
      <w:spacing/>
      <w:ind/>
    </w:pPr>
    <w:rPr>
      <w:i/>
    </w:rPr>
  </w:style>
  <w:style w:type="character" w:styleId="834">
    <w:name w:val="Header Char"/>
    <w:basedOn w:val="983"/>
    <w:link w:val="987"/>
    <w:uiPriority w:val="99"/>
    <w:pPr>
      <w:pBdr/>
      <w:spacing/>
      <w:ind/>
    </w:pPr>
  </w:style>
  <w:style w:type="character" w:styleId="835">
    <w:name w:val="Footer Char"/>
    <w:basedOn w:val="983"/>
    <w:link w:val="989"/>
    <w:uiPriority w:val="99"/>
    <w:pPr>
      <w:pBdr/>
      <w:spacing/>
      <w:ind/>
    </w:pPr>
  </w:style>
  <w:style w:type="paragraph" w:styleId="836">
    <w:name w:val="Caption"/>
    <w:basedOn w:val="980"/>
    <w:next w:val="980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837">
    <w:name w:val="Caption Char"/>
    <w:basedOn w:val="836"/>
    <w:link w:val="989"/>
    <w:uiPriority w:val="99"/>
    <w:pPr>
      <w:pBdr/>
      <w:spacing/>
      <w:ind/>
    </w:pPr>
  </w:style>
  <w:style w:type="table" w:styleId="838">
    <w:name w:val="Table Grid Light"/>
    <w:basedOn w:val="98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Plain Table 1"/>
    <w:basedOn w:val="98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Plain Table 2"/>
    <w:basedOn w:val="98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Plain Table 3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Plain Table 4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Plain Table 5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Grid Table 1 Light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Grid Table 1 Light - Accent 1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Grid Table 1 Light - Accent 2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Grid Table 1 Light - Accent 3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Grid Table 1 Light - Accent 4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Grid Table 1 Light - Accent 5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Grid Table 1 Light - Accent 6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Grid Table 2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Grid Table 2 - Accent 1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Grid Table 2 - Accent 2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Grid Table 2 - Accent 3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Grid Table 2 - Accent 4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Grid Table 2 - Accent 5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Grid Table 2 - Accent 6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Grid Table 3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Grid Table 3 - Accent 1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Grid Table 3 - Accent 2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Grid Table 3 - Accent 3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Grid Table 3 - Accent 4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Grid Table 3 - Accent 5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Grid Table 3 - Accent 6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Grid Table 4"/>
    <w:basedOn w:val="98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Grid Table 4 - Accent 1"/>
    <w:basedOn w:val="98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Grid Table 4 - Accent 2"/>
    <w:basedOn w:val="98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Grid Table 4 - Accent 3"/>
    <w:basedOn w:val="98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Grid Table 4 - Accent 4"/>
    <w:basedOn w:val="98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Grid Table 4 - Accent 5"/>
    <w:basedOn w:val="98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Grid Table 4 - Accent 6"/>
    <w:basedOn w:val="98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Grid Table 5 Dark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Grid Table 5 Dark- Accent 1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Grid Table 5 Dark - Accent 2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Grid Table 5 Dark - Accent 3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Grid Table 5 Dark- Accent 4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Grid Table 5 Dark - Accent 5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Grid Table 5 Dark - Accent 6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Grid Table 6 Colorful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Grid Table 6 Colorful - Accent 1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Grid Table 6 Colorful - Accent 2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Grid Table 6 Colorful - Accent 3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Grid Table 6 Colorful - Accent 4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Grid Table 6 Colorful - Accent 5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Grid Table 6 Colorful - Accent 6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Grid Table 7 Colorful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Grid Table 7 Colorful - Accent 1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Grid Table 7 Colorful - Accent 2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Grid Table 7 Colorful - Accent 3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Grid Table 7 Colorful - Accent 4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Grid Table 7 Colorful - Accent 5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Grid Table 7 Colorful - Accent 6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List Table 1 Light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List Table 1 Light - Accent 1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List Table 1 Light - Accent 2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List Table 1 Light - Accent 3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List Table 1 Light - Accent 4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List Table 1 Light - Accent 5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List Table 1 Light - Accent 6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List Table 2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List Table 2 - Accent 1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List Table 2 - Accent 2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List Table 2 - Accent 3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List Table 2 - Accent 4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List Table 2 - Accent 5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List Table 2 - Accent 6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List Table 3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List Table 3 - Accent 1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List Table 3 - Accent 2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List Table 3 - Accent 3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List Table 3 - Accent 4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>
    <w:name w:val="List Table 3 - Accent 5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3">
    <w:name w:val="List Table 3 - Accent 6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>
    <w:name w:val="List Table 4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5">
    <w:name w:val="List Table 4 - Accent 1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6">
    <w:name w:val="List Table 4 - Accent 2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7">
    <w:name w:val="List Table 4 - Accent 3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8">
    <w:name w:val="List Table 4 - Accent 4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9">
    <w:name w:val="List Table 4 - Accent 5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0">
    <w:name w:val="List Table 4 - Accent 6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1">
    <w:name w:val="List Table 5 Dark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2">
    <w:name w:val="List Table 5 Dark - Accent 1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3">
    <w:name w:val="List Table 5 Dark - Accent 2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4">
    <w:name w:val="List Table 5 Dark - Accent 3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5">
    <w:name w:val="List Table 5 Dark - Accent 4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6">
    <w:name w:val="List Table 5 Dark - Accent 5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7">
    <w:name w:val="List Table 5 Dark - Accent 6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8">
    <w:name w:val="List Table 6 Colorful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9">
    <w:name w:val="List Table 6 Colorful - Accent 1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0">
    <w:name w:val="List Table 6 Colorful - Accent 2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1">
    <w:name w:val="List Table 6 Colorful - Accent 3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2">
    <w:name w:val="List Table 6 Colorful - Accent 4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3">
    <w:name w:val="List Table 6 Colorful - Accent 5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4">
    <w:name w:val="List Table 6 Colorful - Accent 6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5">
    <w:name w:val="List Table 7 Colorful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6">
    <w:name w:val="List Table 7 Colorful - Accent 1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7">
    <w:name w:val="List Table 7 Colorful - Accent 2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8">
    <w:name w:val="List Table 7 Colorful - Accent 3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9">
    <w:name w:val="List Table 7 Colorful - Accent 4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0">
    <w:name w:val="List Table 7 Colorful - Accent 5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1">
    <w:name w:val="List Table 7 Colorful - Accent 6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2">
    <w:name w:val="Lined - Accent"/>
    <w:basedOn w:val="9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3">
    <w:name w:val="Lined - Accent 1"/>
    <w:basedOn w:val="9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4">
    <w:name w:val="Lined - Accent 2"/>
    <w:basedOn w:val="9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5">
    <w:name w:val="Lined - Accent 3"/>
    <w:basedOn w:val="9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6">
    <w:name w:val="Lined - Accent 4"/>
    <w:basedOn w:val="9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7">
    <w:name w:val="Lined - Accent 5"/>
    <w:basedOn w:val="9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8">
    <w:name w:val="Lined - Accent 6"/>
    <w:basedOn w:val="9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9">
    <w:name w:val="Bordered &amp; Lined - Accent"/>
    <w:basedOn w:val="9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0">
    <w:name w:val="Bordered &amp; Lined - Accent 1"/>
    <w:basedOn w:val="9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1">
    <w:name w:val="Bordered &amp; Lined - Accent 2"/>
    <w:basedOn w:val="9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2">
    <w:name w:val="Bordered &amp; Lined - Accent 3"/>
    <w:basedOn w:val="9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3">
    <w:name w:val="Bordered &amp; Lined - Accent 4"/>
    <w:basedOn w:val="9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4">
    <w:name w:val="Bordered &amp; Lined - Accent 5"/>
    <w:basedOn w:val="9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5">
    <w:name w:val="Bordered &amp; Lined - Accent 6"/>
    <w:basedOn w:val="9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6">
    <w:name w:val="Bordered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7">
    <w:name w:val="Bordered - Accent 1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8">
    <w:name w:val="Bordered - Accent 2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9">
    <w:name w:val="Bordered - Accent 3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0">
    <w:name w:val="Bordered - Accent 4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1">
    <w:name w:val="Bordered - Accent 5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2">
    <w:name w:val="Bordered - Accent 6"/>
    <w:basedOn w:val="9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63">
    <w:name w:val="footnote text"/>
    <w:basedOn w:val="980"/>
    <w:link w:val="964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964">
    <w:name w:val="Footnote Text Char"/>
    <w:link w:val="963"/>
    <w:uiPriority w:val="99"/>
    <w:pPr>
      <w:pBdr/>
      <w:spacing/>
      <w:ind/>
    </w:pPr>
    <w:rPr>
      <w:sz w:val="18"/>
    </w:rPr>
  </w:style>
  <w:style w:type="character" w:styleId="965">
    <w:name w:val="footnote reference"/>
    <w:basedOn w:val="983"/>
    <w:uiPriority w:val="99"/>
    <w:unhideWhenUsed/>
    <w:pPr>
      <w:pBdr/>
      <w:spacing/>
      <w:ind/>
    </w:pPr>
    <w:rPr>
      <w:vertAlign w:val="superscript"/>
    </w:rPr>
  </w:style>
  <w:style w:type="paragraph" w:styleId="966">
    <w:name w:val="endnote text"/>
    <w:basedOn w:val="980"/>
    <w:link w:val="967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967">
    <w:name w:val="Endnote Text Char"/>
    <w:link w:val="966"/>
    <w:uiPriority w:val="99"/>
    <w:pPr>
      <w:pBdr/>
      <w:spacing/>
      <w:ind/>
    </w:pPr>
    <w:rPr>
      <w:sz w:val="20"/>
    </w:rPr>
  </w:style>
  <w:style w:type="character" w:styleId="968">
    <w:name w:val="endnote reference"/>
    <w:basedOn w:val="983"/>
    <w:uiPriority w:val="99"/>
    <w:semiHidden/>
    <w:unhideWhenUsed/>
    <w:pPr>
      <w:pBdr/>
      <w:spacing/>
      <w:ind/>
    </w:pPr>
    <w:rPr>
      <w:vertAlign w:val="superscript"/>
    </w:rPr>
  </w:style>
  <w:style w:type="paragraph" w:styleId="969">
    <w:name w:val="toc 1"/>
    <w:basedOn w:val="980"/>
    <w:next w:val="980"/>
    <w:uiPriority w:val="39"/>
    <w:unhideWhenUsed/>
    <w:pPr>
      <w:pBdr/>
      <w:spacing w:after="57"/>
      <w:ind w:right="0" w:firstLine="0" w:left="0"/>
    </w:pPr>
  </w:style>
  <w:style w:type="paragraph" w:styleId="970">
    <w:name w:val="toc 2"/>
    <w:basedOn w:val="980"/>
    <w:next w:val="980"/>
    <w:uiPriority w:val="39"/>
    <w:unhideWhenUsed/>
    <w:pPr>
      <w:pBdr/>
      <w:spacing w:after="57"/>
      <w:ind w:right="0" w:firstLine="0" w:left="283"/>
    </w:pPr>
  </w:style>
  <w:style w:type="paragraph" w:styleId="971">
    <w:name w:val="toc 3"/>
    <w:basedOn w:val="980"/>
    <w:next w:val="980"/>
    <w:uiPriority w:val="39"/>
    <w:unhideWhenUsed/>
    <w:pPr>
      <w:pBdr/>
      <w:spacing w:after="57"/>
      <w:ind w:right="0" w:firstLine="0" w:left="567"/>
    </w:pPr>
  </w:style>
  <w:style w:type="paragraph" w:styleId="972">
    <w:name w:val="toc 4"/>
    <w:basedOn w:val="980"/>
    <w:next w:val="980"/>
    <w:uiPriority w:val="39"/>
    <w:unhideWhenUsed/>
    <w:pPr>
      <w:pBdr/>
      <w:spacing w:after="57"/>
      <w:ind w:right="0" w:firstLine="0" w:left="850"/>
    </w:pPr>
  </w:style>
  <w:style w:type="paragraph" w:styleId="973">
    <w:name w:val="toc 5"/>
    <w:basedOn w:val="980"/>
    <w:next w:val="980"/>
    <w:uiPriority w:val="39"/>
    <w:unhideWhenUsed/>
    <w:pPr>
      <w:pBdr/>
      <w:spacing w:after="57"/>
      <w:ind w:right="0" w:firstLine="0" w:left="1134"/>
    </w:pPr>
  </w:style>
  <w:style w:type="paragraph" w:styleId="974">
    <w:name w:val="toc 6"/>
    <w:basedOn w:val="980"/>
    <w:next w:val="980"/>
    <w:uiPriority w:val="39"/>
    <w:unhideWhenUsed/>
    <w:pPr>
      <w:pBdr/>
      <w:spacing w:after="57"/>
      <w:ind w:right="0" w:firstLine="0" w:left="1417"/>
    </w:pPr>
  </w:style>
  <w:style w:type="paragraph" w:styleId="975">
    <w:name w:val="toc 7"/>
    <w:basedOn w:val="980"/>
    <w:next w:val="980"/>
    <w:uiPriority w:val="39"/>
    <w:unhideWhenUsed/>
    <w:pPr>
      <w:pBdr/>
      <w:spacing w:after="57"/>
      <w:ind w:right="0" w:firstLine="0" w:left="1701"/>
    </w:pPr>
  </w:style>
  <w:style w:type="paragraph" w:styleId="976">
    <w:name w:val="toc 8"/>
    <w:basedOn w:val="980"/>
    <w:next w:val="980"/>
    <w:uiPriority w:val="39"/>
    <w:unhideWhenUsed/>
    <w:pPr>
      <w:pBdr/>
      <w:spacing w:after="57"/>
      <w:ind w:right="0" w:firstLine="0" w:left="1984"/>
    </w:pPr>
  </w:style>
  <w:style w:type="paragraph" w:styleId="977">
    <w:name w:val="toc 9"/>
    <w:basedOn w:val="980"/>
    <w:next w:val="980"/>
    <w:uiPriority w:val="39"/>
    <w:unhideWhenUsed/>
    <w:pPr>
      <w:pBdr/>
      <w:spacing w:after="57"/>
      <w:ind w:right="0" w:firstLine="0" w:left="2268"/>
    </w:pPr>
  </w:style>
  <w:style w:type="paragraph" w:styleId="978">
    <w:name w:val="TOC Heading"/>
    <w:uiPriority w:val="39"/>
    <w:unhideWhenUsed/>
    <w:pPr>
      <w:pBdr/>
      <w:spacing/>
      <w:ind/>
    </w:pPr>
  </w:style>
  <w:style w:type="paragraph" w:styleId="979">
    <w:name w:val="table of figures"/>
    <w:basedOn w:val="980"/>
    <w:next w:val="980"/>
    <w:uiPriority w:val="99"/>
    <w:unhideWhenUsed/>
    <w:pPr>
      <w:pBdr/>
      <w:spacing w:after="0" w:afterAutospacing="0"/>
      <w:ind/>
    </w:pPr>
  </w:style>
  <w:style w:type="paragraph" w:styleId="980" w:default="1">
    <w:name w:val="Normal"/>
    <w:qFormat/>
    <w:pPr>
      <w:pBdr/>
      <w:spacing/>
      <w:ind/>
    </w:pPr>
  </w:style>
  <w:style w:type="paragraph" w:styleId="981">
    <w:name w:val="Heading 1"/>
    <w:basedOn w:val="980"/>
    <w:next w:val="980"/>
    <w:link w:val="992"/>
    <w:uiPriority w:val="9"/>
    <w:qFormat/>
    <w:pPr>
      <w:keepNext w:val="true"/>
      <w:keepLines w:val="true"/>
      <w:pBdr/>
      <w:spacing w:after="0" w:before="240" w:line="360" w:lineRule="auto"/>
      <w:ind/>
      <w:jc w:val="both"/>
      <w:outlineLvl w:val="0"/>
    </w:pPr>
    <w:rPr>
      <w:rFonts w:eastAsiaTheme="majorEastAsia" w:cstheme="majorBidi"/>
      <w:b/>
      <w:color w:val="011970"/>
      <w:sz w:val="44"/>
      <w:szCs w:val="32"/>
    </w:rPr>
  </w:style>
  <w:style w:type="paragraph" w:styleId="982">
    <w:name w:val="Heading 2"/>
    <w:basedOn w:val="980"/>
    <w:next w:val="980"/>
    <w:link w:val="995"/>
    <w:uiPriority w:val="9"/>
    <w:unhideWhenUsed/>
    <w:qFormat/>
    <w:pPr>
      <w:keepNext w:val="true"/>
      <w:keepLines w:val="true"/>
      <w:pBdr/>
      <w:spacing w:after="0" w:before="40"/>
      <w:ind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983" w:default="1">
    <w:name w:val="Default Paragraph Font"/>
    <w:uiPriority w:val="1"/>
    <w:semiHidden/>
    <w:unhideWhenUsed/>
    <w:pPr>
      <w:pBdr/>
      <w:spacing/>
      <w:ind/>
    </w:pPr>
  </w:style>
  <w:style w:type="table" w:styleId="984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85" w:default="1">
    <w:name w:val="No List"/>
    <w:uiPriority w:val="99"/>
    <w:semiHidden/>
    <w:unhideWhenUsed/>
    <w:pPr>
      <w:pBdr/>
      <w:spacing/>
      <w:ind/>
    </w:pPr>
  </w:style>
  <w:style w:type="character" w:styleId="986">
    <w:name w:val="Hyperlink"/>
    <w:basedOn w:val="983"/>
    <w:uiPriority w:val="99"/>
    <w:unhideWhenUsed/>
    <w:pPr>
      <w:pBdr/>
      <w:spacing/>
      <w:ind/>
    </w:pPr>
    <w:rPr>
      <w:color w:val="0563c1" w:themeColor="hyperlink"/>
      <w:u w:val="single"/>
    </w:rPr>
  </w:style>
  <w:style w:type="paragraph" w:styleId="987">
    <w:name w:val="Header"/>
    <w:basedOn w:val="980"/>
    <w:link w:val="988"/>
    <w:uiPriority w:val="99"/>
    <w:unhideWhenUsed/>
    <w:pPr>
      <w:pBdr/>
      <w:tabs>
        <w:tab w:val="center" w:leader="none" w:pos="4536"/>
        <w:tab w:val="right" w:leader="none" w:pos="9072"/>
      </w:tabs>
      <w:spacing w:after="0" w:line="240" w:lineRule="auto"/>
      <w:ind/>
    </w:pPr>
  </w:style>
  <w:style w:type="character" w:styleId="988" w:customStyle="1">
    <w:name w:val="En-tête Car"/>
    <w:basedOn w:val="983"/>
    <w:link w:val="987"/>
    <w:uiPriority w:val="99"/>
    <w:pPr>
      <w:pBdr/>
      <w:spacing/>
      <w:ind/>
    </w:pPr>
  </w:style>
  <w:style w:type="paragraph" w:styleId="989">
    <w:name w:val="Footer"/>
    <w:basedOn w:val="980"/>
    <w:link w:val="990"/>
    <w:uiPriority w:val="99"/>
    <w:unhideWhenUsed/>
    <w:pPr>
      <w:pBdr/>
      <w:tabs>
        <w:tab w:val="center" w:leader="none" w:pos="4536"/>
        <w:tab w:val="right" w:leader="none" w:pos="9072"/>
      </w:tabs>
      <w:spacing w:after="0" w:line="240" w:lineRule="auto"/>
      <w:ind/>
    </w:pPr>
  </w:style>
  <w:style w:type="character" w:styleId="990" w:customStyle="1">
    <w:name w:val="Pied de page Car"/>
    <w:basedOn w:val="983"/>
    <w:link w:val="989"/>
    <w:uiPriority w:val="99"/>
    <w:pPr>
      <w:pBdr/>
      <w:spacing/>
      <w:ind/>
    </w:pPr>
  </w:style>
  <w:style w:type="table" w:styleId="991">
    <w:name w:val="Table Grid"/>
    <w:basedOn w:val="984"/>
    <w:uiPriority w:val="39"/>
    <w:pPr>
      <w:pBdr/>
      <w:spacing w:after="0" w:line="240" w:lineRule="auto"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992" w:customStyle="1">
    <w:name w:val="Titre 1 Car"/>
    <w:basedOn w:val="983"/>
    <w:link w:val="981"/>
    <w:uiPriority w:val="9"/>
    <w:pPr>
      <w:pBdr/>
      <w:spacing/>
      <w:ind/>
    </w:pPr>
    <w:rPr>
      <w:rFonts w:eastAsiaTheme="majorEastAsia" w:cstheme="majorBidi"/>
      <w:b/>
      <w:color w:val="011970"/>
      <w:sz w:val="44"/>
      <w:szCs w:val="32"/>
    </w:rPr>
  </w:style>
  <w:style w:type="paragraph" w:styleId="993">
    <w:name w:val="List Paragraph"/>
    <w:basedOn w:val="980"/>
    <w:uiPriority w:val="34"/>
    <w:qFormat/>
    <w:pPr>
      <w:pBdr/>
      <w:spacing/>
      <w:ind w:left="720"/>
      <w:contextualSpacing w:val="true"/>
    </w:pPr>
  </w:style>
  <w:style w:type="paragraph" w:styleId="994">
    <w:name w:val="Normal (Web)"/>
    <w:basedOn w:val="980"/>
    <w:uiPriority w:val="99"/>
    <w:unhideWhenUsed/>
    <w:pPr>
      <w:pBdr/>
      <w:spacing w:after="100" w:afterAutospacing="1" w:before="100" w:beforeAutospacing="1" w:line="240" w:lineRule="auto"/>
      <w:ind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character" w:styleId="995" w:customStyle="1">
    <w:name w:val="Titre 2 Car"/>
    <w:basedOn w:val="983"/>
    <w:link w:val="982"/>
    <w:uiPriority w:val="9"/>
    <w:pPr>
      <w:pBdr/>
      <w:spacing/>
      <w:ind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996">
    <w:name w:val="No Spacing"/>
    <w:uiPriority w:val="1"/>
    <w:qFormat/>
    <w:pPr>
      <w:pBdr/>
      <w:spacing w:after="0" w:line="240" w:lineRule="auto"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hyperlink" Target="https://nxt.auvergnerhonealpes-ee.fr/index.php/s/ZkJqyMrEJRoeMKG" TargetMode="External"/><Relationship Id="rId12" Type="http://schemas.openxmlformats.org/officeDocument/2006/relationships/hyperlink" Target="https://www.academie-technologies.fr/publications/le-stockage-intersaisonnier-de-chaleur-un-atout-pour-le-climat-et-la-souverainete/" TargetMode="External"/><Relationship Id="rId13" Type="http://schemas.openxmlformats.org/officeDocument/2006/relationships/hyperlink" Target="https://www.auvergnerhonealpes-ee.fr/fileadmin/user_upload/mediatheque/enr/Documents/Reseaux/RES-DHC/Sol_AURA_Niveau_4_-_Coupler_solaire_geothermie.pdf" TargetMode="External"/><Relationship Id="rId14" Type="http://schemas.openxmlformats.org/officeDocument/2006/relationships/image" Target="media/image5.emf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.png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onlyoffice/8.0.1.31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Matthieu GUEDON</dc:creator>
  <cp:keywords/>
  <dc:description/>
  <cp:lastModifiedBy>Lucas Venosino</cp:lastModifiedBy>
  <cp:revision>6</cp:revision>
  <dcterms:created xsi:type="dcterms:W3CDTF">2024-02-21T19:00:00Z</dcterms:created>
  <dcterms:modified xsi:type="dcterms:W3CDTF">2024-04-05T17:57:33Z</dcterms:modified>
</cp:coreProperties>
</file>